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0F8F" w:rsidRDefault="00C80F8F">
      <w:pPr>
        <w:jc w:val="center"/>
        <w:rPr>
          <w:rFonts w:ascii="Arial" w:hAnsi="Arial" w:cs="Arial"/>
          <w:b/>
          <w:sz w:val="28"/>
          <w:szCs w:val="28"/>
        </w:rPr>
      </w:pPr>
    </w:p>
    <w:p w:rsidR="00C80F8F" w:rsidRDefault="00C80F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Meeting</w:t>
      </w:r>
    </w:p>
    <w:p w:rsidR="001976D0" w:rsidRDefault="001976D0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975"/>
        <w:gridCol w:w="893"/>
        <w:gridCol w:w="3709"/>
        <w:gridCol w:w="2328"/>
        <w:gridCol w:w="1549"/>
        <w:gridCol w:w="10"/>
      </w:tblGrid>
      <w:tr w:rsidR="00C80F8F">
        <w:trPr>
          <w:trHeight w:val="427"/>
          <w:tblHeader/>
        </w:trPr>
        <w:tc>
          <w:tcPr>
            <w:tcW w:w="1868" w:type="dxa"/>
            <w:gridSpan w:val="2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</w:tc>
        <w:tc>
          <w:tcPr>
            <w:tcW w:w="7596" w:type="dxa"/>
            <w:gridSpan w:val="4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Elmley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Lovett Parish Council Meeting</w:t>
            </w:r>
          </w:p>
        </w:tc>
      </w:tr>
      <w:tr w:rsidR="00C80F8F">
        <w:trPr>
          <w:trHeight w:val="427"/>
        </w:trPr>
        <w:tc>
          <w:tcPr>
            <w:tcW w:w="1868" w:type="dxa"/>
            <w:gridSpan w:val="2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596" w:type="dxa"/>
            <w:gridSpan w:val="4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Cutnall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Green &amp; District Memorial Hall</w:t>
            </w:r>
          </w:p>
        </w:tc>
      </w:tr>
      <w:tr w:rsidR="00C80F8F">
        <w:trPr>
          <w:trHeight w:val="401"/>
        </w:trPr>
        <w:tc>
          <w:tcPr>
            <w:tcW w:w="1868" w:type="dxa"/>
            <w:gridSpan w:val="2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and time:</w:t>
            </w:r>
          </w:p>
        </w:tc>
        <w:tc>
          <w:tcPr>
            <w:tcW w:w="7596" w:type="dxa"/>
            <w:gridSpan w:val="4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Held on 1</w:t>
            </w:r>
            <w:r w:rsidR="003B26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636">
              <w:rPr>
                <w:rFonts w:ascii="Arial" w:hAnsi="Arial" w:cs="Arial"/>
                <w:b/>
                <w:sz w:val="20"/>
                <w:szCs w:val="20"/>
              </w:rPr>
              <w:t>February 2013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 19.30 hours</w:t>
            </w:r>
          </w:p>
          <w:p w:rsidR="00C80F8F" w:rsidRDefault="00C80F8F">
            <w:pPr>
              <w:snapToGrid w:val="0"/>
            </w:pPr>
          </w:p>
        </w:tc>
      </w:tr>
      <w:tr w:rsidR="00C80F8F">
        <w:tc>
          <w:tcPr>
            <w:tcW w:w="1868" w:type="dxa"/>
            <w:gridSpan w:val="2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Present:</w:t>
            </w:r>
          </w:p>
        </w:tc>
        <w:tc>
          <w:tcPr>
            <w:tcW w:w="3709" w:type="dxa"/>
            <w:shd w:val="clear" w:color="auto" w:fill="auto"/>
          </w:tcPr>
          <w:p w:rsidR="003B2636" w:rsidRDefault="003B26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Cutler (NC)</w:t>
            </w:r>
          </w:p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Homer (JH)</w:t>
            </w:r>
          </w:p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Aston (AA)</w:t>
            </w:r>
          </w:p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Bache (JB)</w:t>
            </w:r>
          </w:p>
          <w:p w:rsidR="003B2636" w:rsidRDefault="003B2636" w:rsidP="003B26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Barlow (AB)</w:t>
            </w:r>
          </w:p>
        </w:tc>
        <w:tc>
          <w:tcPr>
            <w:tcW w:w="3887" w:type="dxa"/>
            <w:gridSpan w:val="3"/>
            <w:shd w:val="clear" w:color="auto" w:fill="auto"/>
          </w:tcPr>
          <w:p w:rsidR="003B2636" w:rsidRDefault="003B26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Chairman</w:t>
            </w:r>
          </w:p>
        </w:tc>
      </w:tr>
      <w:tr w:rsidR="00C80F8F">
        <w:tc>
          <w:tcPr>
            <w:tcW w:w="1868" w:type="dxa"/>
            <w:gridSpan w:val="2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Maiden (AM)</w:t>
            </w:r>
          </w:p>
          <w:p w:rsidR="00C80F8F" w:rsidRDefault="00C80F8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87" w:type="dxa"/>
            <w:gridSpan w:val="3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F8F">
        <w:trPr>
          <w:trHeight w:val="337"/>
        </w:trPr>
        <w:tc>
          <w:tcPr>
            <w:tcW w:w="1868" w:type="dxa"/>
            <w:gridSpan w:val="2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Apologies:</w:t>
            </w:r>
          </w:p>
        </w:tc>
        <w:tc>
          <w:tcPr>
            <w:tcW w:w="3709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Councillor A Miller </w:t>
            </w:r>
          </w:p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Councillor M Broomfield</w:t>
            </w:r>
          </w:p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F8F">
        <w:trPr>
          <w:trHeight w:val="422"/>
        </w:trPr>
        <w:tc>
          <w:tcPr>
            <w:tcW w:w="1868" w:type="dxa"/>
            <w:gridSpan w:val="2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Distribution</w:t>
            </w:r>
          </w:p>
        </w:tc>
        <w:tc>
          <w:tcPr>
            <w:tcW w:w="3709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Councillors</w:t>
            </w:r>
          </w:p>
          <w:p w:rsidR="00C80F8F" w:rsidRDefault="00C8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Councillors</w:t>
            </w:r>
          </w:p>
          <w:p w:rsidR="00C80F8F" w:rsidRDefault="00C8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Councillor</w:t>
            </w:r>
          </w:p>
          <w:p w:rsidR="00C80F8F" w:rsidRDefault="00C8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notice board</w:t>
            </w:r>
          </w:p>
          <w:p w:rsidR="00C80F8F" w:rsidRDefault="00C80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F8F">
        <w:trPr>
          <w:trHeight w:val="422"/>
        </w:trPr>
        <w:tc>
          <w:tcPr>
            <w:tcW w:w="1868" w:type="dxa"/>
            <w:gridSpan w:val="2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issued:</w:t>
            </w:r>
          </w:p>
        </w:tc>
        <w:tc>
          <w:tcPr>
            <w:tcW w:w="7596" w:type="dxa"/>
            <w:gridSpan w:val="4"/>
            <w:shd w:val="clear" w:color="auto" w:fill="auto"/>
          </w:tcPr>
          <w:p w:rsidR="00C80F8F" w:rsidRDefault="00C80F8F" w:rsidP="003B26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636">
              <w:rPr>
                <w:rFonts w:ascii="Arial" w:hAnsi="Arial" w:cs="Arial"/>
                <w:sz w:val="20"/>
                <w:szCs w:val="20"/>
              </w:rPr>
              <w:t>March</w:t>
            </w:r>
            <w:r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</w:tr>
      <w:tr w:rsidR="00C80F8F">
        <w:trPr>
          <w:gridAfter w:val="1"/>
          <w:wAfter w:w="10" w:type="dxa"/>
          <w:trHeight w:val="456"/>
        </w:trPr>
        <w:tc>
          <w:tcPr>
            <w:tcW w:w="975" w:type="dxa"/>
            <w:shd w:val="clear" w:color="auto" w:fill="auto"/>
            <w:vAlign w:val="center"/>
          </w:tcPr>
          <w:p w:rsidR="00C80F8F" w:rsidRDefault="00C80F8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C80F8F">
        <w:trPr>
          <w:gridAfter w:val="1"/>
          <w:wAfter w:w="10" w:type="dxa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Declarations of interests</w:t>
            </w:r>
          </w:p>
          <w:p w:rsidR="00C80F8F" w:rsidRDefault="00C80F8F">
            <w:pPr>
              <w:ind w:left="2" w:hanging="2"/>
              <w:jc w:val="both"/>
              <w:rPr>
                <w:rFonts w:ascii="Arial" w:hAnsi="Arial" w:cs="Arial"/>
                <w:kern w:val="1"/>
                <w:sz w:val="20"/>
                <w:szCs w:val="20"/>
                <w:lang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/>
              </w:rPr>
              <w:t xml:space="preserve">Mr Aston and Mrs Bache are members of the Memorial Hall Committee.  Mr Homer is a member of the </w:t>
            </w:r>
            <w:proofErr w:type="spellStart"/>
            <w:r>
              <w:rPr>
                <w:rFonts w:ascii="Arial" w:hAnsi="Arial" w:cs="Arial"/>
                <w:kern w:val="1"/>
                <w:sz w:val="20"/>
                <w:szCs w:val="20"/>
                <w:lang/>
              </w:rPr>
              <w:t>Elmley</w:t>
            </w:r>
            <w:proofErr w:type="spellEnd"/>
            <w:r>
              <w:rPr>
                <w:rFonts w:ascii="Arial" w:hAnsi="Arial" w:cs="Arial"/>
                <w:kern w:val="1"/>
                <w:sz w:val="20"/>
                <w:szCs w:val="20"/>
                <w:lang/>
              </w:rPr>
              <w:t xml:space="preserve"> Lovett Parochial Church Council.  Mrs Brookes is a member of </w:t>
            </w:r>
            <w:proofErr w:type="spellStart"/>
            <w:r>
              <w:rPr>
                <w:rFonts w:ascii="Arial" w:hAnsi="Arial" w:cs="Arial"/>
                <w:kern w:val="1"/>
                <w:sz w:val="20"/>
                <w:szCs w:val="20"/>
                <w:lang/>
              </w:rPr>
              <w:t>Hartlebury</w:t>
            </w:r>
            <w:proofErr w:type="spellEnd"/>
            <w:r>
              <w:rPr>
                <w:rFonts w:ascii="Arial" w:hAnsi="Arial" w:cs="Arial"/>
                <w:kern w:val="1"/>
                <w:sz w:val="20"/>
                <w:szCs w:val="20"/>
                <w:lang/>
              </w:rPr>
              <w:t xml:space="preserve"> Parish Council.  </w:t>
            </w:r>
          </w:p>
          <w:p w:rsidR="00C80F8F" w:rsidRDefault="00C80F8F">
            <w:pPr>
              <w:ind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of meeting held on 1</w:t>
            </w:r>
            <w:r w:rsidR="001976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76D0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>
              <w:rPr>
                <w:rFonts w:ascii="Arial" w:hAnsi="Arial" w:cs="Arial"/>
                <w:b/>
                <w:sz w:val="20"/>
                <w:szCs w:val="20"/>
              </w:rPr>
              <w:t>ember 2012</w:t>
            </w:r>
          </w:p>
          <w:p w:rsidR="00C80F8F" w:rsidRDefault="00C80F8F">
            <w:pPr>
              <w:snapToGrid w:val="0"/>
              <w:spacing w:after="240"/>
              <w:rPr>
                <w:rFonts w:ascii="Arial" w:hAnsi="Arial" w:cs="Arial"/>
                <w:kern w:val="1"/>
                <w:sz w:val="20"/>
                <w:szCs w:val="20"/>
                <w:lang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/>
              </w:rPr>
              <w:t>The minutes of the above meeting were approved and signed.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  <w:trHeight w:val="523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Matters arising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  <w:trHeight w:val="1047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Highway maintenance, including identification of flooding issues arising from recent heavy rain</w:t>
            </w:r>
            <w:r w:rsidR="009218C1">
              <w:rPr>
                <w:rFonts w:ascii="Arial" w:hAnsi="Arial" w:cs="Arial"/>
                <w:b/>
                <w:sz w:val="20"/>
                <w:szCs w:val="20"/>
              </w:rPr>
              <w:t xml:space="preserve"> and snow</w:t>
            </w:r>
          </w:p>
          <w:p w:rsidR="00C80F8F" w:rsidRDefault="00C80F8F" w:rsidP="009218C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road subsidence into the brook at Jingle Joys bridge has </w:t>
            </w:r>
            <w:r w:rsidR="009218C1">
              <w:rPr>
                <w:rFonts w:ascii="Arial" w:hAnsi="Arial" w:cs="Arial"/>
                <w:sz w:val="20"/>
                <w:szCs w:val="20"/>
              </w:rPr>
              <w:t>not been attended to despite repeated contact by Councillors and the Clerk.  Clerk instructed to contact Highways once again, requesting a response within 7 days; if no communication is received the matter will be raised with the elected County Council representative.  Notify the Environment Agency of the fallen larch tress.</w:t>
            </w:r>
          </w:p>
        </w:tc>
        <w:tc>
          <w:tcPr>
            <w:tcW w:w="1549" w:type="dxa"/>
            <w:shd w:val="clear" w:color="auto" w:fill="auto"/>
          </w:tcPr>
          <w:p w:rsidR="00C80F8F" w:rsidRDefault="009218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– Follow</w:t>
            </w:r>
          </w:p>
          <w:p w:rsidR="009218C1" w:rsidRDefault="009218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</w:t>
            </w:r>
          </w:p>
          <w:p w:rsidR="009218C1" w:rsidRDefault="009218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</w:tr>
      <w:tr w:rsidR="00C80F8F">
        <w:trPr>
          <w:gridAfter w:val="1"/>
          <w:wAfter w:w="10" w:type="dxa"/>
          <w:trHeight w:val="1047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Dog fouling</w:t>
            </w:r>
          </w:p>
          <w:p w:rsidR="00C80F8F" w:rsidRDefault="00C80F8F" w:rsidP="00516BC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 contact</w:t>
            </w:r>
            <w:r w:rsidR="009218C1">
              <w:rPr>
                <w:rFonts w:ascii="Arial" w:hAnsi="Arial" w:cs="Arial"/>
                <w:sz w:val="20"/>
                <w:szCs w:val="20"/>
              </w:rPr>
              <w:t>ed the District Council and the parish has been added to the list for a dog patrol warden visit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16BC1">
              <w:rPr>
                <w:rFonts w:ascii="Arial" w:hAnsi="Arial" w:cs="Arial"/>
                <w:sz w:val="20"/>
                <w:szCs w:val="20"/>
              </w:rPr>
              <w:t xml:space="preserve">The councillors have not noticed an excessive problem during the last couple of months, possibly due to fewer walkers during the bad weather.  </w:t>
            </w:r>
          </w:p>
        </w:tc>
        <w:tc>
          <w:tcPr>
            <w:tcW w:w="1549" w:type="dxa"/>
            <w:shd w:val="clear" w:color="auto" w:fill="auto"/>
          </w:tcPr>
          <w:p w:rsidR="00C80F8F" w:rsidRDefault="00516B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:rsidR="00C80F8F" w:rsidRDefault="00C80F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  <w:trHeight w:val="1047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3.3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Footpaths</w:t>
            </w:r>
          </w:p>
          <w:p w:rsidR="00516BC1" w:rsidRDefault="00C80F8F" w:rsidP="00516BC1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stile </w:t>
            </w:r>
            <w:r w:rsidR="00516BC1">
              <w:rPr>
                <w:rFonts w:ascii="Arial" w:hAnsi="Arial" w:cs="Arial"/>
                <w:sz w:val="20"/>
                <w:szCs w:val="20"/>
              </w:rPr>
              <w:t>removed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Mill Cottage</w:t>
            </w:r>
            <w:r w:rsidR="00516BC1">
              <w:rPr>
                <w:rFonts w:ascii="Arial" w:hAnsi="Arial" w:cs="Arial"/>
                <w:sz w:val="20"/>
                <w:szCs w:val="20"/>
              </w:rPr>
              <w:t xml:space="preserve"> is not on the map and access along the footpath is clear so no action is considered necessary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F8F" w:rsidRDefault="00C80F8F" w:rsidP="00516B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C1">
        <w:trPr>
          <w:gridAfter w:val="1"/>
          <w:wAfter w:w="10" w:type="dxa"/>
          <w:trHeight w:val="1047"/>
        </w:trPr>
        <w:tc>
          <w:tcPr>
            <w:tcW w:w="975" w:type="dxa"/>
            <w:shd w:val="clear" w:color="auto" w:fill="auto"/>
          </w:tcPr>
          <w:p w:rsidR="00516BC1" w:rsidRDefault="00516BC1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3.4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516BC1" w:rsidRDefault="00516BC1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Flooding at Shooters Wood</w:t>
            </w:r>
          </w:p>
          <w:p w:rsidR="00516BC1" w:rsidRPr="00516BC1" w:rsidRDefault="00516BC1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Ditch and drainage work is required, to be added to lengthsman’s schedule.</w:t>
            </w:r>
          </w:p>
        </w:tc>
        <w:tc>
          <w:tcPr>
            <w:tcW w:w="1549" w:type="dxa"/>
            <w:shd w:val="clear" w:color="auto" w:fill="auto"/>
          </w:tcPr>
          <w:p w:rsidR="00516BC1" w:rsidRDefault="00516BC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C1" w:rsidRDefault="00516BC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C1" w:rsidRDefault="00516BC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</w:t>
            </w:r>
          </w:p>
        </w:tc>
      </w:tr>
      <w:tr w:rsidR="00516BC1">
        <w:trPr>
          <w:gridAfter w:val="1"/>
          <w:wAfter w:w="10" w:type="dxa"/>
          <w:trHeight w:val="1047"/>
        </w:trPr>
        <w:tc>
          <w:tcPr>
            <w:tcW w:w="975" w:type="dxa"/>
            <w:shd w:val="clear" w:color="auto" w:fill="auto"/>
          </w:tcPr>
          <w:p w:rsidR="00516BC1" w:rsidRDefault="00516BC1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516BC1" w:rsidRDefault="00516BC1" w:rsidP="00516BC1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Potholes and surface erosion on highways</w:t>
            </w:r>
          </w:p>
          <w:p w:rsidR="00516BC1" w:rsidRPr="00516BC1" w:rsidRDefault="00516BC1" w:rsidP="00516BC1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as noted on map by AA, forward copy to County Highways.</w:t>
            </w:r>
          </w:p>
        </w:tc>
        <w:tc>
          <w:tcPr>
            <w:tcW w:w="1549" w:type="dxa"/>
            <w:shd w:val="clear" w:color="auto" w:fill="auto"/>
          </w:tcPr>
          <w:p w:rsidR="00516BC1" w:rsidRDefault="00516BC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C1" w:rsidRDefault="00516BC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C1" w:rsidRPr="00516BC1" w:rsidRDefault="00516BC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</w:tr>
      <w:tr w:rsidR="00C80F8F">
        <w:trPr>
          <w:gridAfter w:val="1"/>
          <w:wAfter w:w="10" w:type="dxa"/>
          <w:trHeight w:val="543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1432" w:hanging="1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</w:tcPr>
          <w:p w:rsidR="00C80F8F" w:rsidRPr="00516BC1" w:rsidRDefault="00516BC1">
            <w:pPr>
              <w:tabs>
                <w:tab w:val="left" w:pos="1095"/>
              </w:tabs>
              <w:suppressAutoHyphens w:val="0"/>
              <w:snapToGrid w:val="0"/>
              <w:spacing w:line="100" w:lineRule="atLeast"/>
              <w:ind w:left="1425" w:hanging="1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BC1">
              <w:rPr>
                <w:rFonts w:ascii="Arial" w:hAnsi="Arial" w:cs="Arial"/>
                <w:bCs/>
                <w:sz w:val="20"/>
                <w:szCs w:val="20"/>
              </w:rPr>
              <w:t>None.</w:t>
            </w:r>
          </w:p>
          <w:p w:rsidR="00C80F8F" w:rsidRDefault="00C80F8F">
            <w:pPr>
              <w:tabs>
                <w:tab w:val="left" w:pos="1095"/>
                <w:tab w:val="left" w:pos="195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  <w:trHeight w:val="621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 balances and financial transactions requiring authorisation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  <w:trHeight w:val="2349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 balances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700"/>
              <w:gridCol w:w="995"/>
            </w:tblGrid>
            <w:tr w:rsidR="00C80F8F">
              <w:trPr>
                <w:trHeight w:val="255"/>
              </w:trPr>
              <w:tc>
                <w:tcPr>
                  <w:tcW w:w="3700" w:type="dxa"/>
                  <w:shd w:val="clear" w:color="auto" w:fill="auto"/>
                  <w:vAlign w:val="bottom"/>
                </w:tcPr>
                <w:p w:rsidR="00C80F8F" w:rsidRDefault="00C80F8F" w:rsidP="00516BC1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 3</w:t>
                  </w:r>
                  <w:r w:rsidR="00516BC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1.0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1.1</w:t>
                  </w:r>
                  <w:r w:rsidR="00516BC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995" w:type="dxa"/>
                  <w:shd w:val="clear" w:color="auto" w:fill="auto"/>
                  <w:vAlign w:val="bottom"/>
                </w:tcPr>
                <w:p w:rsidR="00C80F8F" w:rsidRDefault="00C80F8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£</w:t>
                  </w:r>
                </w:p>
              </w:tc>
            </w:tr>
            <w:tr w:rsidR="00C80F8F">
              <w:trPr>
                <w:trHeight w:val="255"/>
              </w:trPr>
              <w:tc>
                <w:tcPr>
                  <w:tcW w:w="3700" w:type="dxa"/>
                  <w:shd w:val="clear" w:color="auto" w:fill="auto"/>
                  <w:vAlign w:val="bottom"/>
                </w:tcPr>
                <w:p w:rsidR="00C80F8F" w:rsidRDefault="00C80F8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Barclays current account no. 40319465</w:t>
                  </w:r>
                </w:p>
              </w:tc>
              <w:tc>
                <w:tcPr>
                  <w:tcW w:w="995" w:type="dxa"/>
                  <w:shd w:val="clear" w:color="auto" w:fill="auto"/>
                  <w:vAlign w:val="bottom"/>
                </w:tcPr>
                <w:p w:rsidR="00C80F8F" w:rsidRDefault="00516BC1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2177.26</w:t>
                  </w:r>
                </w:p>
              </w:tc>
            </w:tr>
            <w:tr w:rsidR="00C80F8F">
              <w:trPr>
                <w:trHeight w:val="255"/>
              </w:trPr>
              <w:tc>
                <w:tcPr>
                  <w:tcW w:w="3700" w:type="dxa"/>
                  <w:shd w:val="clear" w:color="auto" w:fill="auto"/>
                  <w:vAlign w:val="bottom"/>
                </w:tcPr>
                <w:p w:rsidR="00C80F8F" w:rsidRDefault="00C80F8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National savings account no. 138040611</w:t>
                  </w:r>
                </w:p>
              </w:tc>
              <w:tc>
                <w:tcPr>
                  <w:tcW w:w="995" w:type="dxa"/>
                  <w:shd w:val="clear" w:color="auto" w:fill="auto"/>
                  <w:vAlign w:val="bottom"/>
                </w:tcPr>
                <w:p w:rsidR="00C80F8F" w:rsidRDefault="00C80F8F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213.48</w:t>
                  </w:r>
                </w:p>
              </w:tc>
            </w:tr>
            <w:tr w:rsidR="00C80F8F">
              <w:trPr>
                <w:trHeight w:val="255"/>
              </w:trPr>
              <w:tc>
                <w:tcPr>
                  <w:tcW w:w="3700" w:type="dxa"/>
                  <w:shd w:val="clear" w:color="auto" w:fill="auto"/>
                  <w:vAlign w:val="bottom"/>
                </w:tcPr>
                <w:p w:rsidR="00C80F8F" w:rsidRDefault="00C80F8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Nationwide Building Society</w:t>
                  </w:r>
                </w:p>
              </w:tc>
              <w:tc>
                <w:tcPr>
                  <w:tcW w:w="995" w:type="dxa"/>
                  <w:shd w:val="clear" w:color="auto" w:fill="auto"/>
                  <w:vAlign w:val="bottom"/>
                </w:tcPr>
                <w:p w:rsidR="00C80F8F" w:rsidRDefault="00C80F8F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423.11</w:t>
                  </w:r>
                </w:p>
              </w:tc>
            </w:tr>
            <w:tr w:rsidR="00C80F8F">
              <w:trPr>
                <w:trHeight w:val="270"/>
              </w:trPr>
              <w:tc>
                <w:tcPr>
                  <w:tcW w:w="3700" w:type="dxa"/>
                  <w:shd w:val="clear" w:color="auto" w:fill="auto"/>
                  <w:vAlign w:val="bottom"/>
                </w:tcPr>
                <w:p w:rsidR="00C80F8F" w:rsidRDefault="00C80F8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bottom w:val="double" w:sz="1" w:space="0" w:color="000000"/>
                  </w:tcBorders>
                  <w:shd w:val="clear" w:color="auto" w:fill="auto"/>
                  <w:vAlign w:val="bottom"/>
                </w:tcPr>
                <w:p w:rsidR="00C80F8F" w:rsidRDefault="00516BC1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2813.85</w:t>
                  </w:r>
                </w:p>
              </w:tc>
            </w:tr>
          </w:tbl>
          <w:p w:rsidR="00C80F8F" w:rsidRDefault="00C80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  <w:trHeight w:val="2713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:rsidR="00C80F8F" w:rsidRDefault="00C80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Payments due – authorisation required</w:t>
            </w:r>
          </w:p>
          <w:p w:rsidR="00164371" w:rsidRPr="00164371" w:rsidRDefault="00164371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donation to the churchyard maintenance was discussed.  JH’s declaration of interest was noted.  JB proposed contribution of £500, seconded by NC, all agreed.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915"/>
              <w:gridCol w:w="945"/>
            </w:tblGrid>
            <w:tr w:rsidR="00C80F8F" w:rsidTr="00164371">
              <w:trPr>
                <w:trHeight w:val="255"/>
              </w:trPr>
              <w:tc>
                <w:tcPr>
                  <w:tcW w:w="3915" w:type="dxa"/>
                  <w:shd w:val="clear" w:color="auto" w:fill="auto"/>
                  <w:vAlign w:val="bottom"/>
                </w:tcPr>
                <w:p w:rsidR="00C80F8F" w:rsidRDefault="00C80F8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bottom"/>
                </w:tcPr>
                <w:p w:rsidR="00C80F8F" w:rsidRDefault="00C80F8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£</w:t>
                  </w:r>
                </w:p>
              </w:tc>
            </w:tr>
            <w:tr w:rsidR="00C80F8F" w:rsidRPr="00164371" w:rsidTr="00164371">
              <w:trPr>
                <w:trHeight w:val="255"/>
              </w:trPr>
              <w:tc>
                <w:tcPr>
                  <w:tcW w:w="3915" w:type="dxa"/>
                  <w:shd w:val="clear" w:color="auto" w:fill="auto"/>
                  <w:vAlign w:val="bottom"/>
                </w:tcPr>
                <w:p w:rsidR="00C80F8F" w:rsidRDefault="00516BC1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Memorial Hall – meeting room hire</w:t>
                  </w:r>
                </w:p>
              </w:tc>
              <w:tc>
                <w:tcPr>
                  <w:tcW w:w="945" w:type="dxa"/>
                  <w:shd w:val="clear" w:color="auto" w:fill="auto"/>
                  <w:vAlign w:val="bottom"/>
                </w:tcPr>
                <w:p w:rsidR="00C80F8F" w:rsidRPr="00164371" w:rsidRDefault="00516BC1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6437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 w:rsidR="00C80F8F" w:rsidRPr="0016437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</w:tr>
            <w:tr w:rsidR="00516BC1" w:rsidTr="00164371">
              <w:trPr>
                <w:trHeight w:val="255"/>
              </w:trPr>
              <w:tc>
                <w:tcPr>
                  <w:tcW w:w="3915" w:type="dxa"/>
                  <w:shd w:val="clear" w:color="auto" w:fill="auto"/>
                  <w:vAlign w:val="bottom"/>
                </w:tcPr>
                <w:p w:rsidR="00516BC1" w:rsidRDefault="00516BC1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Elmley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Lovett PCC – churchyard maintenance</w:t>
                  </w:r>
                </w:p>
              </w:tc>
              <w:tc>
                <w:tcPr>
                  <w:tcW w:w="945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16BC1" w:rsidRDefault="00516BC1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500.00</w:t>
                  </w:r>
                </w:p>
              </w:tc>
            </w:tr>
            <w:tr w:rsidR="00C80F8F">
              <w:trPr>
                <w:trHeight w:val="255"/>
              </w:trPr>
              <w:tc>
                <w:tcPr>
                  <w:tcW w:w="3915" w:type="dxa"/>
                  <w:shd w:val="clear" w:color="auto" w:fill="auto"/>
                  <w:vAlign w:val="bottom"/>
                </w:tcPr>
                <w:p w:rsidR="00C80F8F" w:rsidRDefault="00C80F8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80F8F" w:rsidRDefault="00164371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65</w:t>
                  </w:r>
                  <w:r w:rsidR="00C80F8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</w:tr>
          </w:tbl>
          <w:p w:rsidR="00C80F8F" w:rsidRDefault="00C80F8F">
            <w:pPr>
              <w:spacing w:after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Approved.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F8F" w:rsidRDefault="00C80F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0F8F">
        <w:trPr>
          <w:gridAfter w:val="1"/>
          <w:wAfter w:w="10" w:type="dxa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 w:rsidP="00164371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 for circulation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C80F8F">
        <w:trPr>
          <w:gridAfter w:val="1"/>
          <w:wAfter w:w="10" w:type="dxa"/>
          <w:trHeight w:val="531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Items of parochial interest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164371" w:rsidP="00164371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Flytipping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aggressive drivers possibly involved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flytipping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are an ongoing nuisance.  2 barrels have been dumped in a field entrance at Shooters Wood.</w:t>
            </w:r>
            <w:r w:rsidR="00C80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4371">
        <w:trPr>
          <w:gridAfter w:val="1"/>
          <w:wAfter w:w="10" w:type="dxa"/>
        </w:trPr>
        <w:tc>
          <w:tcPr>
            <w:tcW w:w="975" w:type="dxa"/>
            <w:shd w:val="clear" w:color="auto" w:fill="auto"/>
          </w:tcPr>
          <w:p w:rsidR="00164371" w:rsidRDefault="001643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164371" w:rsidRDefault="00164371" w:rsidP="00164371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Saddle stones have been stolen from 2 properties.</w:t>
            </w:r>
          </w:p>
        </w:tc>
        <w:tc>
          <w:tcPr>
            <w:tcW w:w="1549" w:type="dxa"/>
            <w:shd w:val="clear" w:color="auto" w:fill="auto"/>
          </w:tcPr>
          <w:p w:rsidR="00164371" w:rsidRDefault="001643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4371">
        <w:trPr>
          <w:gridAfter w:val="1"/>
          <w:wAfter w:w="10" w:type="dxa"/>
        </w:trPr>
        <w:tc>
          <w:tcPr>
            <w:tcW w:w="975" w:type="dxa"/>
            <w:shd w:val="clear" w:color="auto" w:fill="auto"/>
          </w:tcPr>
          <w:p w:rsidR="00164371" w:rsidRDefault="001643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164371" w:rsidRDefault="00164371" w:rsidP="00164371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Oaktree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 has suffered an unpleasant gas smell, the source has been thoroughly tested by Callow Gas and it is believed to be coming from a sewer.</w:t>
            </w:r>
          </w:p>
        </w:tc>
        <w:tc>
          <w:tcPr>
            <w:tcW w:w="1549" w:type="dxa"/>
            <w:shd w:val="clear" w:color="auto" w:fill="auto"/>
          </w:tcPr>
          <w:p w:rsidR="00164371" w:rsidRDefault="0016437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  <w:p w:rsidR="00C80F8F" w:rsidRDefault="00C80F8F" w:rsidP="0016437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</w:t>
            </w:r>
            <w:r w:rsidR="0016437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371">
              <w:rPr>
                <w:rFonts w:ascii="Arial" w:hAnsi="Arial" w:cs="Arial"/>
                <w:sz w:val="20"/>
                <w:szCs w:val="20"/>
              </w:rPr>
              <w:t>March</w:t>
            </w:r>
            <w:r>
              <w:rPr>
                <w:rFonts w:ascii="Arial" w:hAnsi="Arial" w:cs="Arial"/>
                <w:sz w:val="20"/>
                <w:szCs w:val="20"/>
              </w:rPr>
              <w:t xml:space="preserve"> 2013 at 19.30 hours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Cutnall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Green &amp; District Memorial Hall.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F8F">
        <w:trPr>
          <w:gridAfter w:val="1"/>
          <w:wAfter w:w="10" w:type="dxa"/>
        </w:trPr>
        <w:tc>
          <w:tcPr>
            <w:tcW w:w="975" w:type="dxa"/>
            <w:shd w:val="clear" w:color="auto" w:fill="auto"/>
          </w:tcPr>
          <w:p w:rsidR="00C80F8F" w:rsidRDefault="00C80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C80F8F" w:rsidRDefault="00C80F8F">
            <w:pPr>
              <w:snapToGri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 </w:t>
            </w:r>
          </w:p>
          <w:p w:rsidR="00C80F8F" w:rsidRDefault="00C80F8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20.30 hours.</w:t>
            </w:r>
          </w:p>
        </w:tc>
        <w:tc>
          <w:tcPr>
            <w:tcW w:w="1549" w:type="dxa"/>
            <w:shd w:val="clear" w:color="auto" w:fill="auto"/>
          </w:tcPr>
          <w:p w:rsidR="00C80F8F" w:rsidRDefault="00C80F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0F8F" w:rsidRDefault="00C80F8F"/>
    <w:sectPr w:rsidR="00C80F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22" w:right="1418" w:bottom="1339" w:left="1418" w:header="709" w:footer="108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8F" w:rsidRDefault="00C80F8F">
      <w:r>
        <w:separator/>
      </w:r>
    </w:p>
  </w:endnote>
  <w:endnote w:type="continuationSeparator" w:id="0">
    <w:p w:rsidR="00C80F8F" w:rsidRDefault="00C8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F" w:rsidRDefault="00C80F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F" w:rsidRDefault="00C80F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F" w:rsidRDefault="00C80F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8F" w:rsidRDefault="00C80F8F">
      <w:r>
        <w:separator/>
      </w:r>
    </w:p>
  </w:footnote>
  <w:footnote w:type="continuationSeparator" w:id="0">
    <w:p w:rsidR="00C80F8F" w:rsidRDefault="00C80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F" w:rsidRDefault="003B263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57325" cy="1485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F" w:rsidRDefault="00C80F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6D0"/>
    <w:rsid w:val="00164371"/>
    <w:rsid w:val="001976D0"/>
    <w:rsid w:val="003B2636"/>
    <w:rsid w:val="00516BC1"/>
    <w:rsid w:val="009218C1"/>
    <w:rsid w:val="00C8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C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joj</dc:creator>
  <cp:lastModifiedBy>Steve-Laptop</cp:lastModifiedBy>
  <cp:revision>3</cp:revision>
  <cp:lastPrinted>1601-01-01T00:00:00Z</cp:lastPrinted>
  <dcterms:created xsi:type="dcterms:W3CDTF">2013-03-04T08:49:00Z</dcterms:created>
  <dcterms:modified xsi:type="dcterms:W3CDTF">2013-03-04T09:15:00Z</dcterms:modified>
</cp:coreProperties>
</file>