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D273D" w14:textId="4AD55523" w:rsidR="00530374" w:rsidRPr="007368AA" w:rsidRDefault="00530374" w:rsidP="00C5160E">
      <w:pPr>
        <w:jc w:val="center"/>
        <w:rPr>
          <w:b/>
          <w:bCs/>
          <w:sz w:val="24"/>
          <w:szCs w:val="24"/>
        </w:rPr>
      </w:pPr>
      <w:r w:rsidRPr="007368AA">
        <w:rPr>
          <w:b/>
          <w:bCs/>
          <w:sz w:val="24"/>
          <w:szCs w:val="24"/>
        </w:rPr>
        <w:t>Planning Committee Business during the Covid 19 crisis</w:t>
      </w:r>
    </w:p>
    <w:p w14:paraId="1139BD88" w14:textId="7489715B" w:rsidR="00F83911" w:rsidRPr="008C43C8" w:rsidRDefault="00B032E4" w:rsidP="00F83911">
      <w:pPr>
        <w:jc w:val="center"/>
        <w:rPr>
          <w:b/>
          <w:bCs/>
          <w:sz w:val="24"/>
          <w:szCs w:val="24"/>
        </w:rPr>
      </w:pPr>
      <w:r>
        <w:rPr>
          <w:b/>
          <w:bCs/>
          <w:sz w:val="24"/>
          <w:szCs w:val="24"/>
        </w:rPr>
        <w:t>Ju</w:t>
      </w:r>
      <w:r w:rsidR="000D13D7">
        <w:rPr>
          <w:b/>
          <w:bCs/>
          <w:sz w:val="24"/>
          <w:szCs w:val="24"/>
        </w:rPr>
        <w:t>ly</w:t>
      </w:r>
      <w:r w:rsidR="00C5160E" w:rsidRPr="007368AA">
        <w:rPr>
          <w:b/>
          <w:bCs/>
          <w:sz w:val="24"/>
          <w:szCs w:val="24"/>
        </w:rPr>
        <w:t xml:space="preserve"> 2020</w:t>
      </w:r>
    </w:p>
    <w:p w14:paraId="22956562" w14:textId="148C3FAD" w:rsidR="00530374" w:rsidRPr="00530374" w:rsidRDefault="00CC6255" w:rsidP="00530374">
      <w:r>
        <w:t xml:space="preserve">The following </w:t>
      </w:r>
      <w:r w:rsidR="00F47ECF">
        <w:t xml:space="preserve">items </w:t>
      </w:r>
      <w:r w:rsidR="004B4793">
        <w:t xml:space="preserve">are </w:t>
      </w:r>
      <w:r w:rsidR="00F47ECF">
        <w:t>for noting or deci</w:t>
      </w:r>
      <w:r>
        <w:t xml:space="preserve">ding </w:t>
      </w:r>
      <w:r w:rsidR="004B4793">
        <w:t xml:space="preserve">as </w:t>
      </w:r>
      <w:r w:rsidR="005748C9">
        <w:t>appropriate</w:t>
      </w:r>
      <w:r w:rsidR="004B4793">
        <w:t>.</w:t>
      </w:r>
    </w:p>
    <w:p w14:paraId="585F3605" w14:textId="3F850729" w:rsidR="00530374" w:rsidRPr="00530374" w:rsidRDefault="00530374" w:rsidP="00E76496">
      <w:pPr>
        <w:numPr>
          <w:ilvl w:val="0"/>
          <w:numId w:val="1"/>
        </w:numPr>
        <w:spacing w:after="0"/>
        <w:rPr>
          <w:b/>
          <w:bCs/>
        </w:rPr>
      </w:pPr>
      <w:r w:rsidRPr="00530374">
        <w:rPr>
          <w:b/>
          <w:bCs/>
        </w:rPr>
        <w:t xml:space="preserve">Consultations on planning applications </w:t>
      </w:r>
    </w:p>
    <w:p w14:paraId="41C46843" w14:textId="49942DF1" w:rsidR="002B0F1C" w:rsidRDefault="002F4D7C" w:rsidP="005748C9">
      <w:r>
        <w:t xml:space="preserve">There </w:t>
      </w:r>
      <w:r w:rsidR="00A77D13">
        <w:t xml:space="preserve">is only one application </w:t>
      </w:r>
      <w:r w:rsidR="00336F29">
        <w:t xml:space="preserve">currently out for consultation, namely </w:t>
      </w:r>
      <w:r w:rsidR="00DD7DD8">
        <w:t>29 Green Slade Crescent</w:t>
      </w:r>
      <w:r w:rsidR="00016C28">
        <w:t>.</w:t>
      </w:r>
      <w:r w:rsidR="00EB77CB">
        <w:t xml:space="preserve"> This was </w:t>
      </w:r>
      <w:r w:rsidR="00CA564D">
        <w:t>circulated</w:t>
      </w:r>
      <w:r w:rsidR="00EB77CB">
        <w:t xml:space="preserve"> to members </w:t>
      </w:r>
      <w:r w:rsidR="002C79BB">
        <w:t xml:space="preserve">on </w:t>
      </w:r>
      <w:r w:rsidR="006713B3">
        <w:t>2</w:t>
      </w:r>
      <w:r w:rsidR="006713B3" w:rsidRPr="006713B3">
        <w:rPr>
          <w:vertAlign w:val="superscript"/>
        </w:rPr>
        <w:t>nd</w:t>
      </w:r>
      <w:r w:rsidR="006713B3">
        <w:t xml:space="preserve"> July </w:t>
      </w:r>
      <w:r w:rsidR="00CA564D">
        <w:t xml:space="preserve">and the deadline for responses to me is </w:t>
      </w:r>
      <w:r w:rsidR="00D03651">
        <w:t>22</w:t>
      </w:r>
      <w:r w:rsidR="00D03651" w:rsidRPr="00D03651">
        <w:rPr>
          <w:vertAlign w:val="superscript"/>
        </w:rPr>
        <w:t>nd</w:t>
      </w:r>
      <w:r w:rsidR="00D03651">
        <w:t xml:space="preserve"> July</w:t>
      </w:r>
      <w:r w:rsidR="007639F6">
        <w:t xml:space="preserve">. </w:t>
      </w:r>
    </w:p>
    <w:p w14:paraId="70A9BB55" w14:textId="3E65C98E" w:rsidR="003753F3" w:rsidRPr="00462844" w:rsidRDefault="005748C9" w:rsidP="00FA0B7F">
      <w:pPr>
        <w:spacing w:after="0"/>
        <w:rPr>
          <w:b/>
          <w:bCs/>
        </w:rPr>
      </w:pPr>
      <w:r>
        <w:rPr>
          <w:b/>
          <w:bCs/>
        </w:rPr>
        <w:t>2</w:t>
      </w:r>
      <w:r w:rsidR="003753F3" w:rsidRPr="00462844">
        <w:rPr>
          <w:b/>
          <w:bCs/>
        </w:rPr>
        <w:t xml:space="preserve">. </w:t>
      </w:r>
      <w:r w:rsidR="00462844" w:rsidRPr="00462844">
        <w:rPr>
          <w:b/>
          <w:bCs/>
        </w:rPr>
        <w:t>1</w:t>
      </w:r>
      <w:r w:rsidR="003753F3" w:rsidRPr="00462844">
        <w:rPr>
          <w:b/>
          <w:bCs/>
        </w:rPr>
        <w:t xml:space="preserve"> Alexander Close</w:t>
      </w:r>
      <w:r w:rsidR="006477A4">
        <w:rPr>
          <w:b/>
          <w:bCs/>
        </w:rPr>
        <w:t xml:space="preserve"> – </w:t>
      </w:r>
      <w:bookmarkStart w:id="0" w:name="_Hlk45101379"/>
      <w:r w:rsidR="006477A4">
        <w:rPr>
          <w:b/>
          <w:bCs/>
        </w:rPr>
        <w:t>appeal consultation</w:t>
      </w:r>
      <w:bookmarkEnd w:id="0"/>
    </w:p>
    <w:p w14:paraId="45E073D1" w14:textId="34CB577B" w:rsidR="002B0F1C" w:rsidRDefault="00462844" w:rsidP="00FA0B7F">
      <w:pPr>
        <w:spacing w:after="0"/>
      </w:pPr>
      <w:r>
        <w:t xml:space="preserve">One response was </w:t>
      </w:r>
      <w:bookmarkStart w:id="1" w:name="_Hlk45101419"/>
      <w:r>
        <w:t xml:space="preserve">received </w:t>
      </w:r>
      <w:r w:rsidR="00715A8C">
        <w:t xml:space="preserve">stating no need to change </w:t>
      </w:r>
      <w:bookmarkStart w:id="2" w:name="_Hlk45101150"/>
      <w:r w:rsidR="00715A8C">
        <w:t xml:space="preserve">planning Committee’s </w:t>
      </w:r>
      <w:r w:rsidR="005B1601">
        <w:t>previous comments</w:t>
      </w:r>
      <w:bookmarkEnd w:id="2"/>
      <w:r w:rsidR="005B1601">
        <w:t>.</w:t>
      </w:r>
    </w:p>
    <w:p w14:paraId="77E7DAD4" w14:textId="14ACA4AC" w:rsidR="005B1601" w:rsidRDefault="005B1601" w:rsidP="00FA0B7F">
      <w:pPr>
        <w:spacing w:after="0"/>
      </w:pPr>
      <w:bookmarkStart w:id="3" w:name="_Hlk45101518"/>
      <w:bookmarkEnd w:id="1"/>
      <w:r>
        <w:rPr>
          <w:b/>
          <w:bCs/>
        </w:rPr>
        <w:t xml:space="preserve">It was </w:t>
      </w:r>
      <w:proofErr w:type="gramStart"/>
      <w:r>
        <w:rPr>
          <w:b/>
          <w:bCs/>
        </w:rPr>
        <w:t xml:space="preserve">agreed </w:t>
      </w:r>
      <w:r>
        <w:t xml:space="preserve"> that</w:t>
      </w:r>
      <w:proofErr w:type="gramEnd"/>
      <w:r>
        <w:t xml:space="preserve"> </w:t>
      </w:r>
      <w:r w:rsidR="0022705E">
        <w:t>P</w:t>
      </w:r>
      <w:r w:rsidRPr="005B1601">
        <w:t xml:space="preserve">lanning Committee’s </w:t>
      </w:r>
      <w:r w:rsidR="0022705E">
        <w:t>original comments on this application remain unchanged.</w:t>
      </w:r>
      <w:r w:rsidRPr="005B1601">
        <w:t xml:space="preserve"> </w:t>
      </w:r>
    </w:p>
    <w:bookmarkEnd w:id="3"/>
    <w:p w14:paraId="163B1D08" w14:textId="77777777" w:rsidR="00311DC0" w:rsidRDefault="00311DC0" w:rsidP="00FA0B7F">
      <w:pPr>
        <w:spacing w:after="0"/>
      </w:pPr>
    </w:p>
    <w:p w14:paraId="66FFEDE0" w14:textId="0144B9CB" w:rsidR="00311DC0" w:rsidRDefault="005748C9" w:rsidP="00FA0B7F">
      <w:pPr>
        <w:spacing w:after="0"/>
      </w:pPr>
      <w:r>
        <w:rPr>
          <w:b/>
          <w:bCs/>
        </w:rPr>
        <w:t>3</w:t>
      </w:r>
      <w:r w:rsidR="002B0F1C" w:rsidRPr="001D1209">
        <w:rPr>
          <w:b/>
          <w:bCs/>
        </w:rPr>
        <w:t>.</w:t>
      </w:r>
      <w:r w:rsidR="007458DD">
        <w:rPr>
          <w:b/>
          <w:bCs/>
        </w:rPr>
        <w:t xml:space="preserve"> Whitford Road </w:t>
      </w:r>
      <w:r w:rsidR="000005CF">
        <w:rPr>
          <w:b/>
          <w:bCs/>
        </w:rPr>
        <w:t xml:space="preserve">- </w:t>
      </w:r>
      <w:r w:rsidR="000005CF">
        <w:t>appeal</w:t>
      </w:r>
      <w:r w:rsidR="007458DD" w:rsidRPr="007458DD">
        <w:t xml:space="preserve"> consultation</w:t>
      </w:r>
      <w:r w:rsidR="00CC7E8F">
        <w:t xml:space="preserve"> (</w:t>
      </w:r>
      <w:r w:rsidR="00CB5A4E">
        <w:t>revised arrangements)</w:t>
      </w:r>
    </w:p>
    <w:p w14:paraId="01798097" w14:textId="002E91E9" w:rsidR="007458DD" w:rsidRDefault="007458DD" w:rsidP="00FA0B7F">
      <w:pPr>
        <w:spacing w:after="0"/>
      </w:pPr>
      <w:r>
        <w:t xml:space="preserve">Three responses </w:t>
      </w:r>
      <w:r w:rsidR="000005CF">
        <w:t xml:space="preserve">were </w:t>
      </w:r>
      <w:r w:rsidR="000005CF" w:rsidRPr="000005CF">
        <w:t>received stating no need to change planning Committee’s previous comments.</w:t>
      </w:r>
    </w:p>
    <w:p w14:paraId="15A05923" w14:textId="6ADFFC0E" w:rsidR="00CB5A4E" w:rsidRDefault="00CB5A4E" w:rsidP="00FA0B7F">
      <w:pPr>
        <w:spacing w:after="0"/>
      </w:pPr>
      <w:r w:rsidRPr="003830F5">
        <w:rPr>
          <w:b/>
          <w:bCs/>
        </w:rPr>
        <w:t xml:space="preserve">It was </w:t>
      </w:r>
      <w:r w:rsidR="003830F5" w:rsidRPr="003830F5">
        <w:rPr>
          <w:b/>
          <w:bCs/>
        </w:rPr>
        <w:t>agreed</w:t>
      </w:r>
      <w:r w:rsidR="003830F5" w:rsidRPr="00CB5A4E">
        <w:t xml:space="preserve"> that</w:t>
      </w:r>
      <w:r w:rsidRPr="00CB5A4E">
        <w:t xml:space="preserve"> Planning Committee’s original comments on this app</w:t>
      </w:r>
      <w:r w:rsidR="003830F5">
        <w:t>eal</w:t>
      </w:r>
      <w:r w:rsidRPr="00CB5A4E">
        <w:t xml:space="preserve"> remain unchanged.</w:t>
      </w:r>
    </w:p>
    <w:p w14:paraId="38A64ADF" w14:textId="40ADDAC0" w:rsidR="005C272F" w:rsidRDefault="005C272F" w:rsidP="00FA0B7F">
      <w:pPr>
        <w:spacing w:after="0"/>
      </w:pPr>
    </w:p>
    <w:p w14:paraId="43B9CF98" w14:textId="65127DD8" w:rsidR="005748C9" w:rsidRPr="00530374" w:rsidRDefault="00CA52C6" w:rsidP="00CA52C6">
      <w:pPr>
        <w:spacing w:after="0"/>
        <w:rPr>
          <w:b/>
          <w:bCs/>
        </w:rPr>
      </w:pPr>
      <w:r>
        <w:rPr>
          <w:b/>
          <w:bCs/>
        </w:rPr>
        <w:t xml:space="preserve">4. </w:t>
      </w:r>
      <w:r w:rsidR="005748C9" w:rsidRPr="00530374">
        <w:rPr>
          <w:b/>
          <w:bCs/>
        </w:rPr>
        <w:t>To consider the publication of an advice note on commenting on planning applications</w:t>
      </w:r>
    </w:p>
    <w:p w14:paraId="71E03067" w14:textId="4DEF62B1" w:rsidR="005748C9" w:rsidRDefault="005748C9" w:rsidP="00FA0B7F">
      <w:pPr>
        <w:spacing w:after="0"/>
      </w:pPr>
      <w:r>
        <w:t xml:space="preserve">A first draft of this is substantially complete. </w:t>
      </w:r>
    </w:p>
    <w:p w14:paraId="73A9F797" w14:textId="77777777" w:rsidR="00CA52C6" w:rsidRDefault="00CA52C6" w:rsidP="00FA0B7F">
      <w:pPr>
        <w:spacing w:after="0"/>
      </w:pPr>
    </w:p>
    <w:p w14:paraId="016666B8" w14:textId="6E6A469B" w:rsidR="00D5293B" w:rsidRPr="00545B33" w:rsidRDefault="00992970" w:rsidP="00FA0B7F">
      <w:pPr>
        <w:spacing w:after="0"/>
        <w:rPr>
          <w:b/>
          <w:bCs/>
        </w:rPr>
      </w:pPr>
      <w:r w:rsidRPr="00545B33">
        <w:rPr>
          <w:b/>
          <w:bCs/>
        </w:rPr>
        <w:t>5. Proposed Perryfields Development</w:t>
      </w:r>
      <w:r w:rsidR="00545B33" w:rsidRPr="00545B33">
        <w:rPr>
          <w:b/>
          <w:bCs/>
        </w:rPr>
        <w:t xml:space="preserve"> – request for pollution monitoring in Catshill</w:t>
      </w:r>
      <w:r w:rsidRPr="00545B33">
        <w:rPr>
          <w:b/>
          <w:bCs/>
        </w:rPr>
        <w:t xml:space="preserve"> </w:t>
      </w:r>
    </w:p>
    <w:p w14:paraId="5E4DA2EC" w14:textId="7F04E63C" w:rsidR="00D5293B" w:rsidRPr="007375CF" w:rsidRDefault="00627556" w:rsidP="00FA0B7F">
      <w:pPr>
        <w:spacing w:after="0"/>
      </w:pPr>
      <w:r w:rsidRPr="007375CF">
        <w:t xml:space="preserve">This is now with the Case Officer </w:t>
      </w:r>
      <w:r w:rsidR="007375CF" w:rsidRPr="007375CF">
        <w:t>for consideration.</w:t>
      </w:r>
    </w:p>
    <w:p w14:paraId="626C8BE0" w14:textId="77777777" w:rsidR="00D5293B" w:rsidRDefault="00D5293B" w:rsidP="00FA0B7F">
      <w:pPr>
        <w:spacing w:after="0"/>
        <w:rPr>
          <w:b/>
          <w:bCs/>
        </w:rPr>
      </w:pPr>
    </w:p>
    <w:p w14:paraId="64AA18B5" w14:textId="2E74331C" w:rsidR="00530374" w:rsidRPr="00530374" w:rsidRDefault="00F0002C" w:rsidP="00FA0B7F">
      <w:pPr>
        <w:spacing w:after="0"/>
      </w:pPr>
      <w:r>
        <w:rPr>
          <w:b/>
          <w:bCs/>
        </w:rPr>
        <w:t xml:space="preserve">6. </w:t>
      </w:r>
      <w:r w:rsidR="00530374" w:rsidRPr="00530374">
        <w:rPr>
          <w:b/>
          <w:bCs/>
        </w:rPr>
        <w:t xml:space="preserve">Review of Planning Log </w:t>
      </w:r>
    </w:p>
    <w:p w14:paraId="6F7EC7E2" w14:textId="4289718D" w:rsidR="00530374" w:rsidRDefault="001F7118" w:rsidP="00530374">
      <w:r>
        <w:t>The following table is for information</w:t>
      </w:r>
      <w:r w:rsidR="00C0583F">
        <w:t xml:space="preserve"> and noting by </w:t>
      </w:r>
      <w:r w:rsidR="001B5E06">
        <w:t>members.</w:t>
      </w:r>
      <w:r w:rsidR="001B5E06" w:rsidRPr="00530374">
        <w:t xml:space="preserve"> T</w:t>
      </w:r>
      <w:r w:rsidR="001B5E06">
        <w:t>he</w:t>
      </w:r>
      <w:r w:rsidR="00C0583F">
        <w:t xml:space="preserve"> table </w:t>
      </w:r>
      <w:r w:rsidR="00842386">
        <w:t xml:space="preserve">provides </w:t>
      </w:r>
      <w:r w:rsidR="00C0583F">
        <w:t>updates</w:t>
      </w:r>
      <w:r w:rsidR="00842386">
        <w:t xml:space="preserve"> </w:t>
      </w:r>
      <w:r w:rsidR="00530374" w:rsidRPr="00530374">
        <w:t>on decisions made by B</w:t>
      </w:r>
      <w:r w:rsidR="00842386">
        <w:t xml:space="preserve">romsgrove </w:t>
      </w:r>
      <w:r w:rsidR="00530374" w:rsidRPr="00530374">
        <w:t>D</w:t>
      </w:r>
      <w:r w:rsidR="00842386">
        <w:t xml:space="preserve">istrict </w:t>
      </w:r>
      <w:r w:rsidR="00530374" w:rsidRPr="00530374">
        <w:t>C</w:t>
      </w:r>
      <w:r w:rsidR="00842386">
        <w:t>ouncil</w:t>
      </w:r>
      <w:r w:rsidR="00530374" w:rsidRPr="00530374">
        <w:t xml:space="preserve"> on </w:t>
      </w:r>
      <w:r w:rsidR="00B1001C">
        <w:t xml:space="preserve">planning applications </w:t>
      </w:r>
      <w:r w:rsidR="00530374" w:rsidRPr="00530374">
        <w:t>previously considered</w:t>
      </w:r>
      <w:r w:rsidR="00B1001C">
        <w:t xml:space="preserve"> by your committee.</w:t>
      </w:r>
      <w:r w:rsidR="00FF70EC">
        <w:t xml:space="preserve"> </w:t>
      </w:r>
      <w:r w:rsidR="00ED32A4">
        <w:t>No decision is required.</w:t>
      </w:r>
      <w:r w:rsidR="00A40E1E">
        <w:t xml:space="preserve"> </w:t>
      </w:r>
    </w:p>
    <w:tbl>
      <w:tblPr>
        <w:tblW w:w="1063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69"/>
        <w:gridCol w:w="1559"/>
        <w:gridCol w:w="2552"/>
        <w:gridCol w:w="1134"/>
        <w:gridCol w:w="1837"/>
        <w:gridCol w:w="1707"/>
      </w:tblGrid>
      <w:tr w:rsidR="00951A5C" w:rsidRPr="00951A5C" w14:paraId="49284E2C" w14:textId="77777777" w:rsidTr="009F7FE2">
        <w:trPr>
          <w:trHeight w:val="300"/>
        </w:trPr>
        <w:tc>
          <w:tcPr>
            <w:tcW w:w="675" w:type="dxa"/>
            <w:shd w:val="clear" w:color="auto" w:fill="auto"/>
            <w:noWrap/>
            <w:vAlign w:val="center"/>
            <w:hideMark/>
          </w:tcPr>
          <w:p w14:paraId="7397CCB5" w14:textId="77777777" w:rsidR="00951A5C" w:rsidRPr="00951A5C" w:rsidRDefault="00951A5C" w:rsidP="00951A5C">
            <w:pPr>
              <w:rPr>
                <w:b/>
                <w:bCs/>
              </w:rPr>
            </w:pPr>
            <w:r w:rsidRPr="00951A5C">
              <w:rPr>
                <w:b/>
                <w:bCs/>
              </w:rPr>
              <w:t>Log</w:t>
            </w:r>
          </w:p>
        </w:tc>
        <w:tc>
          <w:tcPr>
            <w:tcW w:w="1169" w:type="dxa"/>
            <w:shd w:val="clear" w:color="auto" w:fill="auto"/>
            <w:noWrap/>
            <w:vAlign w:val="center"/>
            <w:hideMark/>
          </w:tcPr>
          <w:p w14:paraId="21953956" w14:textId="77777777" w:rsidR="00951A5C" w:rsidRPr="00951A5C" w:rsidRDefault="00951A5C" w:rsidP="00951A5C">
            <w:pPr>
              <w:rPr>
                <w:b/>
                <w:bCs/>
              </w:rPr>
            </w:pPr>
            <w:r w:rsidRPr="00951A5C">
              <w:rPr>
                <w:b/>
                <w:bCs/>
              </w:rPr>
              <w:t>Ref</w:t>
            </w:r>
          </w:p>
        </w:tc>
        <w:tc>
          <w:tcPr>
            <w:tcW w:w="1559" w:type="dxa"/>
            <w:shd w:val="clear" w:color="auto" w:fill="auto"/>
            <w:noWrap/>
            <w:vAlign w:val="center"/>
            <w:hideMark/>
          </w:tcPr>
          <w:p w14:paraId="74C55C33" w14:textId="77777777" w:rsidR="00951A5C" w:rsidRPr="00951A5C" w:rsidRDefault="00951A5C" w:rsidP="00951A5C">
            <w:pPr>
              <w:rPr>
                <w:b/>
                <w:bCs/>
              </w:rPr>
            </w:pPr>
            <w:r w:rsidRPr="00951A5C">
              <w:rPr>
                <w:b/>
                <w:bCs/>
              </w:rPr>
              <w:t>Address</w:t>
            </w:r>
          </w:p>
        </w:tc>
        <w:tc>
          <w:tcPr>
            <w:tcW w:w="2552" w:type="dxa"/>
            <w:shd w:val="clear" w:color="auto" w:fill="auto"/>
            <w:vAlign w:val="center"/>
            <w:hideMark/>
          </w:tcPr>
          <w:p w14:paraId="526F0710" w14:textId="77777777" w:rsidR="00951A5C" w:rsidRPr="00951A5C" w:rsidRDefault="00951A5C" w:rsidP="00951A5C">
            <w:pPr>
              <w:rPr>
                <w:b/>
                <w:bCs/>
              </w:rPr>
            </w:pPr>
            <w:r w:rsidRPr="00951A5C">
              <w:rPr>
                <w:b/>
                <w:bCs/>
              </w:rPr>
              <w:t>Proposal</w:t>
            </w:r>
          </w:p>
        </w:tc>
        <w:tc>
          <w:tcPr>
            <w:tcW w:w="1134" w:type="dxa"/>
            <w:shd w:val="clear" w:color="auto" w:fill="auto"/>
            <w:noWrap/>
            <w:vAlign w:val="center"/>
            <w:hideMark/>
          </w:tcPr>
          <w:p w14:paraId="086ED871" w14:textId="77777777" w:rsidR="00951A5C" w:rsidRPr="00951A5C" w:rsidRDefault="00951A5C" w:rsidP="00951A5C">
            <w:pPr>
              <w:rPr>
                <w:b/>
                <w:bCs/>
              </w:rPr>
            </w:pPr>
            <w:r w:rsidRPr="00951A5C">
              <w:rPr>
                <w:b/>
                <w:bCs/>
              </w:rPr>
              <w:t>Meeting date</w:t>
            </w:r>
          </w:p>
        </w:tc>
        <w:tc>
          <w:tcPr>
            <w:tcW w:w="1837" w:type="dxa"/>
            <w:shd w:val="clear" w:color="auto" w:fill="auto"/>
            <w:vAlign w:val="center"/>
            <w:hideMark/>
          </w:tcPr>
          <w:p w14:paraId="1F72228C" w14:textId="77777777" w:rsidR="00951A5C" w:rsidRPr="00951A5C" w:rsidRDefault="00951A5C" w:rsidP="00951A5C">
            <w:pPr>
              <w:rPr>
                <w:b/>
                <w:bCs/>
              </w:rPr>
            </w:pPr>
            <w:r w:rsidRPr="00951A5C">
              <w:rPr>
                <w:b/>
                <w:bCs/>
              </w:rPr>
              <w:t>Comment</w:t>
            </w:r>
          </w:p>
        </w:tc>
        <w:tc>
          <w:tcPr>
            <w:tcW w:w="1707" w:type="dxa"/>
            <w:shd w:val="clear" w:color="auto" w:fill="auto"/>
            <w:vAlign w:val="center"/>
            <w:hideMark/>
          </w:tcPr>
          <w:p w14:paraId="78A410E0" w14:textId="77777777" w:rsidR="00951A5C" w:rsidRPr="00951A5C" w:rsidRDefault="00951A5C" w:rsidP="00951A5C">
            <w:pPr>
              <w:rPr>
                <w:b/>
                <w:bCs/>
              </w:rPr>
            </w:pPr>
            <w:r w:rsidRPr="00951A5C">
              <w:rPr>
                <w:b/>
                <w:bCs/>
              </w:rPr>
              <w:t>LPA Decision</w:t>
            </w:r>
          </w:p>
        </w:tc>
      </w:tr>
      <w:tr w:rsidR="00951A5C" w:rsidRPr="00951A5C" w14:paraId="6B8356D8" w14:textId="77777777" w:rsidTr="00DB33E5">
        <w:trPr>
          <w:trHeight w:val="1550"/>
        </w:trPr>
        <w:tc>
          <w:tcPr>
            <w:tcW w:w="675" w:type="dxa"/>
            <w:shd w:val="clear" w:color="auto" w:fill="auto"/>
          </w:tcPr>
          <w:p w14:paraId="6DC1FACF" w14:textId="77777777" w:rsidR="00951A5C" w:rsidRPr="00951A5C" w:rsidRDefault="00951A5C" w:rsidP="00951A5C">
            <w:pPr>
              <w:rPr>
                <w:lang w:val="en-US"/>
              </w:rPr>
            </w:pPr>
            <w:r w:rsidRPr="00951A5C">
              <w:rPr>
                <w:lang w:val="en-US"/>
              </w:rPr>
              <w:t>757</w:t>
            </w:r>
          </w:p>
        </w:tc>
        <w:tc>
          <w:tcPr>
            <w:tcW w:w="1169" w:type="dxa"/>
            <w:shd w:val="clear" w:color="auto" w:fill="auto"/>
          </w:tcPr>
          <w:p w14:paraId="45BFBFF3" w14:textId="77777777" w:rsidR="00951A5C" w:rsidRPr="00951A5C" w:rsidRDefault="00951A5C" w:rsidP="00951A5C">
            <w:pPr>
              <w:rPr>
                <w:lang w:val="en-US"/>
              </w:rPr>
            </w:pPr>
            <w:r w:rsidRPr="00951A5C">
              <w:rPr>
                <w:lang w:val="en-US"/>
              </w:rPr>
              <w:t>19/00713/FUL</w:t>
            </w:r>
          </w:p>
        </w:tc>
        <w:tc>
          <w:tcPr>
            <w:tcW w:w="1559" w:type="dxa"/>
            <w:shd w:val="clear" w:color="auto" w:fill="auto"/>
          </w:tcPr>
          <w:p w14:paraId="6833A4B7" w14:textId="77777777" w:rsidR="00951A5C" w:rsidRPr="00951A5C" w:rsidRDefault="00951A5C" w:rsidP="00951A5C">
            <w:pPr>
              <w:rPr>
                <w:lang w:val="en-US"/>
              </w:rPr>
            </w:pPr>
            <w:r w:rsidRPr="00951A5C">
              <w:rPr>
                <w:lang w:val="en-US"/>
              </w:rPr>
              <w:t xml:space="preserve">385 </w:t>
            </w:r>
            <w:proofErr w:type="spellStart"/>
            <w:r w:rsidRPr="00951A5C">
              <w:rPr>
                <w:lang w:val="en-US"/>
              </w:rPr>
              <w:t>Stourbridge</w:t>
            </w:r>
            <w:proofErr w:type="spellEnd"/>
            <w:r w:rsidRPr="00951A5C">
              <w:rPr>
                <w:lang w:val="en-US"/>
              </w:rPr>
              <w:t xml:space="preserve"> Road, Catshill, B61 9LG</w:t>
            </w:r>
          </w:p>
        </w:tc>
        <w:tc>
          <w:tcPr>
            <w:tcW w:w="2552" w:type="dxa"/>
            <w:shd w:val="clear" w:color="auto" w:fill="auto"/>
          </w:tcPr>
          <w:p w14:paraId="2042FFB6" w14:textId="77777777" w:rsidR="00951A5C" w:rsidRPr="00951A5C" w:rsidRDefault="00951A5C" w:rsidP="00951A5C">
            <w:pPr>
              <w:rPr>
                <w:lang w:val="en-US"/>
              </w:rPr>
            </w:pPr>
            <w:r w:rsidRPr="00951A5C">
              <w:rPr>
                <w:lang w:val="en-US"/>
              </w:rPr>
              <w:t xml:space="preserve">Extend existing dropped kerb by 3m along the front of our property </w:t>
            </w:r>
            <w:proofErr w:type="gramStart"/>
            <w:r w:rsidRPr="00951A5C">
              <w:rPr>
                <w:lang w:val="en-US"/>
              </w:rPr>
              <w:t>in order to</w:t>
            </w:r>
            <w:proofErr w:type="gramEnd"/>
            <w:r w:rsidRPr="00951A5C">
              <w:rPr>
                <w:lang w:val="en-US"/>
              </w:rPr>
              <w:t xml:space="preserve"> allow wider driveway access</w:t>
            </w:r>
          </w:p>
        </w:tc>
        <w:tc>
          <w:tcPr>
            <w:tcW w:w="1134" w:type="dxa"/>
            <w:shd w:val="clear" w:color="auto" w:fill="auto"/>
          </w:tcPr>
          <w:p w14:paraId="4558ACED" w14:textId="77777777" w:rsidR="00951A5C" w:rsidRPr="00951A5C" w:rsidRDefault="00951A5C" w:rsidP="00951A5C">
            <w:pPr>
              <w:rPr>
                <w:lang w:val="en-US"/>
              </w:rPr>
            </w:pPr>
            <w:r w:rsidRPr="00951A5C">
              <w:rPr>
                <w:lang w:val="en-US"/>
              </w:rPr>
              <w:t>18/07/19</w:t>
            </w:r>
          </w:p>
        </w:tc>
        <w:tc>
          <w:tcPr>
            <w:tcW w:w="1837" w:type="dxa"/>
            <w:shd w:val="clear" w:color="auto" w:fill="auto"/>
          </w:tcPr>
          <w:p w14:paraId="75EEE8B2" w14:textId="77777777" w:rsidR="00951A5C" w:rsidRPr="00951A5C" w:rsidRDefault="00951A5C" w:rsidP="00951A5C">
            <w:pPr>
              <w:rPr>
                <w:lang w:val="en-US"/>
              </w:rPr>
            </w:pPr>
            <w:r w:rsidRPr="00951A5C">
              <w:rPr>
                <w:lang w:val="en-US"/>
              </w:rPr>
              <w:t>The Parish Council support the application.</w:t>
            </w:r>
          </w:p>
        </w:tc>
        <w:tc>
          <w:tcPr>
            <w:tcW w:w="1707" w:type="dxa"/>
            <w:shd w:val="clear" w:color="auto" w:fill="auto"/>
          </w:tcPr>
          <w:p w14:paraId="6961E461" w14:textId="17E306DB" w:rsidR="00951A5C" w:rsidRPr="00951A5C" w:rsidRDefault="00460853" w:rsidP="00951A5C">
            <w:pPr>
              <w:rPr>
                <w:lang w:val="en-US"/>
              </w:rPr>
            </w:pPr>
            <w:r w:rsidRPr="004C2948">
              <w:rPr>
                <w:lang w:val="en-US"/>
              </w:rPr>
              <w:t xml:space="preserve">No decision as at </w:t>
            </w:r>
            <w:r w:rsidR="001A7116">
              <w:rPr>
                <w:lang w:val="en-US"/>
              </w:rPr>
              <w:t>8</w:t>
            </w:r>
            <w:r w:rsidR="004C2948" w:rsidRPr="004C2948">
              <w:rPr>
                <w:lang w:val="en-US"/>
              </w:rPr>
              <w:t>/</w:t>
            </w:r>
            <w:r w:rsidR="00812448">
              <w:rPr>
                <w:lang w:val="en-US"/>
              </w:rPr>
              <w:t>7</w:t>
            </w:r>
            <w:r w:rsidR="004C2948" w:rsidRPr="004C2948">
              <w:rPr>
                <w:lang w:val="en-US"/>
              </w:rPr>
              <w:t>/20</w:t>
            </w:r>
          </w:p>
        </w:tc>
      </w:tr>
      <w:tr w:rsidR="00BA0C20" w:rsidRPr="00951A5C" w14:paraId="170E2D18" w14:textId="77777777" w:rsidTr="009F7FE2">
        <w:trPr>
          <w:trHeight w:val="947"/>
        </w:trPr>
        <w:tc>
          <w:tcPr>
            <w:tcW w:w="675" w:type="dxa"/>
            <w:shd w:val="clear" w:color="auto" w:fill="auto"/>
          </w:tcPr>
          <w:p w14:paraId="3B0FA192" w14:textId="38CA3355" w:rsidR="00BA0C20" w:rsidRPr="00951A5C" w:rsidRDefault="00BA0C20" w:rsidP="00BA0C20">
            <w:pPr>
              <w:rPr>
                <w:lang w:val="en-US"/>
              </w:rPr>
            </w:pPr>
            <w:r>
              <w:rPr>
                <w:lang w:val="en-US"/>
              </w:rPr>
              <w:t>771</w:t>
            </w:r>
          </w:p>
        </w:tc>
        <w:tc>
          <w:tcPr>
            <w:tcW w:w="1169" w:type="dxa"/>
            <w:shd w:val="clear" w:color="auto" w:fill="auto"/>
          </w:tcPr>
          <w:p w14:paraId="61B6284B" w14:textId="2442F277" w:rsidR="00BA0C20" w:rsidRPr="00951A5C" w:rsidRDefault="00BA0C20" w:rsidP="00BA0C20">
            <w:pPr>
              <w:rPr>
                <w:lang w:val="en-US"/>
              </w:rPr>
            </w:pPr>
            <w:r w:rsidRPr="00FA6BC2">
              <w:t xml:space="preserve">19/000056/CM </w:t>
            </w:r>
          </w:p>
        </w:tc>
        <w:tc>
          <w:tcPr>
            <w:tcW w:w="1559" w:type="dxa"/>
            <w:shd w:val="clear" w:color="auto" w:fill="auto"/>
          </w:tcPr>
          <w:p w14:paraId="24349F50" w14:textId="375C982C" w:rsidR="00BA0C20" w:rsidRPr="00951A5C" w:rsidRDefault="00BA0C20" w:rsidP="00BA0C20">
            <w:pPr>
              <w:rPr>
                <w:lang w:val="en-US"/>
              </w:rPr>
            </w:pPr>
            <w:r w:rsidRPr="00FA6BC2">
              <w:t xml:space="preserve">Pinches Quarry, </w:t>
            </w:r>
            <w:proofErr w:type="spellStart"/>
            <w:r w:rsidRPr="00FA6BC2">
              <w:t>Wildmoor</w:t>
            </w:r>
            <w:proofErr w:type="spellEnd"/>
            <w:r w:rsidRPr="00FA6BC2">
              <w:t xml:space="preserve"> Lane, </w:t>
            </w:r>
            <w:proofErr w:type="spellStart"/>
            <w:r w:rsidRPr="00FA6BC2">
              <w:t>Wildmoor</w:t>
            </w:r>
            <w:proofErr w:type="spellEnd"/>
            <w:r w:rsidRPr="00FA6BC2">
              <w:t>, Bromsgrove, B61 0QN</w:t>
            </w:r>
          </w:p>
        </w:tc>
        <w:tc>
          <w:tcPr>
            <w:tcW w:w="2552" w:type="dxa"/>
            <w:shd w:val="clear" w:color="auto" w:fill="auto"/>
          </w:tcPr>
          <w:p w14:paraId="11D08047" w14:textId="37B1938E" w:rsidR="00BA0C20" w:rsidRPr="00951A5C" w:rsidRDefault="00BA0C20" w:rsidP="00BA0C20">
            <w:pPr>
              <w:rPr>
                <w:lang w:val="en-US"/>
              </w:rPr>
            </w:pPr>
            <w:r w:rsidRPr="007E0C40">
              <w:t>Extraction of sand and gravel and subsequent</w:t>
            </w:r>
            <w:r w:rsidR="00DC4A92">
              <w:t xml:space="preserve"> </w:t>
            </w:r>
            <w:r w:rsidRPr="007E0C40">
              <w:t>infilling with inert waste to achieve full restoration</w:t>
            </w:r>
          </w:p>
        </w:tc>
        <w:tc>
          <w:tcPr>
            <w:tcW w:w="1134" w:type="dxa"/>
            <w:shd w:val="clear" w:color="auto" w:fill="auto"/>
          </w:tcPr>
          <w:p w14:paraId="06D5F0D3" w14:textId="2445D9D2" w:rsidR="00BA0C20" w:rsidRPr="00951A5C" w:rsidRDefault="00BA0C20" w:rsidP="00BA0C20">
            <w:pPr>
              <w:rPr>
                <w:lang w:val="en-US"/>
              </w:rPr>
            </w:pPr>
            <w:r w:rsidRPr="007E0C40">
              <w:t>Delegated powers</w:t>
            </w:r>
          </w:p>
        </w:tc>
        <w:tc>
          <w:tcPr>
            <w:tcW w:w="1837" w:type="dxa"/>
            <w:shd w:val="clear" w:color="auto" w:fill="auto"/>
          </w:tcPr>
          <w:p w14:paraId="588477A3" w14:textId="26C20E41" w:rsidR="00BA0C20" w:rsidRPr="00951A5C" w:rsidRDefault="00BA0C20" w:rsidP="00BA0C20">
            <w:pPr>
              <w:rPr>
                <w:lang w:val="en-US"/>
              </w:rPr>
            </w:pPr>
            <w:r w:rsidRPr="007E0C40">
              <w:t xml:space="preserve">Members were particularly concerned about what at happened at the Marlbrook Quarry where the limit of restorative fill was exceeded and therefore in respect of this application felt there is a need for robust monitoring in order to avoid </w:t>
            </w:r>
            <w:r w:rsidRPr="007E0C40">
              <w:lastRenderedPageBreak/>
              <w:t xml:space="preserve">overfilling and that measures be put in place to ensure that all infill material was genuinely inert. </w:t>
            </w:r>
            <w:proofErr w:type="gramStart"/>
            <w:r w:rsidRPr="007E0C40">
              <w:t>Furthermore</w:t>
            </w:r>
            <w:proofErr w:type="gramEnd"/>
            <w:r w:rsidRPr="007E0C40">
              <w:t xml:space="preserve"> that all vehicle movements only access and egress the site to and from the A491 and measures are taken to prevent debris spilling onto the highway.</w:t>
            </w:r>
          </w:p>
        </w:tc>
        <w:tc>
          <w:tcPr>
            <w:tcW w:w="1707" w:type="dxa"/>
            <w:shd w:val="clear" w:color="auto" w:fill="auto"/>
          </w:tcPr>
          <w:p w14:paraId="6CEE8FC3" w14:textId="73CBC597" w:rsidR="00BA0C20" w:rsidRPr="00951A5C" w:rsidRDefault="0024622E" w:rsidP="00BA0C20">
            <w:pPr>
              <w:rPr>
                <w:lang w:val="en-US"/>
              </w:rPr>
            </w:pPr>
            <w:r w:rsidRPr="0024622E">
              <w:rPr>
                <w:lang w:val="en-US"/>
              </w:rPr>
              <w:lastRenderedPageBreak/>
              <w:t xml:space="preserve">No decision as at </w:t>
            </w:r>
            <w:r w:rsidR="00E22B7F">
              <w:rPr>
                <w:lang w:val="en-US"/>
              </w:rPr>
              <w:t>8</w:t>
            </w:r>
            <w:r w:rsidRPr="0024622E">
              <w:rPr>
                <w:lang w:val="en-US"/>
              </w:rPr>
              <w:t>/</w:t>
            </w:r>
            <w:r w:rsidR="0083702A">
              <w:rPr>
                <w:lang w:val="en-US"/>
              </w:rPr>
              <w:t>7</w:t>
            </w:r>
            <w:r w:rsidRPr="0024622E">
              <w:rPr>
                <w:lang w:val="en-US"/>
              </w:rPr>
              <w:t>/20</w:t>
            </w:r>
          </w:p>
        </w:tc>
      </w:tr>
      <w:tr w:rsidR="008739BE" w:rsidRPr="00951A5C" w14:paraId="35D9203D" w14:textId="77777777" w:rsidTr="008A1DD2">
        <w:trPr>
          <w:trHeight w:val="1454"/>
        </w:trPr>
        <w:tc>
          <w:tcPr>
            <w:tcW w:w="675" w:type="dxa"/>
            <w:shd w:val="clear" w:color="auto" w:fill="auto"/>
          </w:tcPr>
          <w:p w14:paraId="5C14F7E7" w14:textId="22F4DAE3" w:rsidR="008739BE" w:rsidRPr="00951A5C" w:rsidRDefault="008739BE" w:rsidP="008739BE">
            <w:pPr>
              <w:rPr>
                <w:lang w:val="en-US"/>
              </w:rPr>
            </w:pPr>
            <w:bookmarkStart w:id="4" w:name="_Hlk42509088"/>
            <w:r>
              <w:rPr>
                <w:lang w:val="en-US"/>
              </w:rPr>
              <w:t>777</w:t>
            </w:r>
          </w:p>
        </w:tc>
        <w:tc>
          <w:tcPr>
            <w:tcW w:w="1169" w:type="dxa"/>
            <w:tcBorders>
              <w:top w:val="single" w:sz="4" w:space="0" w:color="auto"/>
              <w:left w:val="nil"/>
              <w:bottom w:val="single" w:sz="4" w:space="0" w:color="auto"/>
              <w:right w:val="single" w:sz="4" w:space="0" w:color="auto"/>
            </w:tcBorders>
            <w:shd w:val="clear" w:color="auto" w:fill="auto"/>
          </w:tcPr>
          <w:p w14:paraId="2B7749B0" w14:textId="267E019F" w:rsidR="008739BE" w:rsidRPr="00951A5C" w:rsidRDefault="008739BE" w:rsidP="008739BE">
            <w:pPr>
              <w:rPr>
                <w:lang w:val="en-US"/>
              </w:rPr>
            </w:pPr>
            <w:r w:rsidRPr="002556AA">
              <w:t>20/00551/FUL</w:t>
            </w:r>
          </w:p>
        </w:tc>
        <w:tc>
          <w:tcPr>
            <w:tcW w:w="1559" w:type="dxa"/>
            <w:tcBorders>
              <w:top w:val="single" w:sz="4" w:space="0" w:color="auto"/>
              <w:left w:val="nil"/>
              <w:bottom w:val="single" w:sz="4" w:space="0" w:color="auto"/>
              <w:right w:val="single" w:sz="4" w:space="0" w:color="auto"/>
            </w:tcBorders>
            <w:shd w:val="clear" w:color="auto" w:fill="auto"/>
          </w:tcPr>
          <w:p w14:paraId="1A52A694" w14:textId="4B10EB5B" w:rsidR="008739BE" w:rsidRPr="00951A5C" w:rsidRDefault="008739BE" w:rsidP="008739BE">
            <w:pPr>
              <w:rPr>
                <w:lang w:val="en-US"/>
              </w:rPr>
            </w:pPr>
            <w:r w:rsidRPr="0053398C">
              <w:t>641 Birmingham Rd</w:t>
            </w:r>
            <w:r>
              <w:t>, B61 0HX</w:t>
            </w:r>
          </w:p>
        </w:tc>
        <w:tc>
          <w:tcPr>
            <w:tcW w:w="2552" w:type="dxa"/>
            <w:tcBorders>
              <w:top w:val="single" w:sz="4" w:space="0" w:color="auto"/>
              <w:left w:val="nil"/>
              <w:bottom w:val="single" w:sz="4" w:space="0" w:color="auto"/>
              <w:right w:val="single" w:sz="4" w:space="0" w:color="auto"/>
            </w:tcBorders>
            <w:shd w:val="clear" w:color="auto" w:fill="auto"/>
          </w:tcPr>
          <w:p w14:paraId="6FCD33BC" w14:textId="6321DD8B" w:rsidR="008739BE" w:rsidRPr="00951A5C" w:rsidRDefault="008739BE" w:rsidP="008739BE">
            <w:pPr>
              <w:rPr>
                <w:lang w:val="en-US"/>
              </w:rPr>
            </w:pPr>
            <w:r w:rsidRPr="00235B3E">
              <w:t>Side extension to provide accessible ground floor bedroom accommodation.</w:t>
            </w:r>
          </w:p>
        </w:tc>
        <w:tc>
          <w:tcPr>
            <w:tcW w:w="1134" w:type="dxa"/>
            <w:shd w:val="clear" w:color="auto" w:fill="auto"/>
          </w:tcPr>
          <w:p w14:paraId="2E46A770" w14:textId="253D1562" w:rsidR="008739BE" w:rsidRPr="00951A5C" w:rsidRDefault="008739BE" w:rsidP="008739BE">
            <w:pPr>
              <w:rPr>
                <w:lang w:val="en-US"/>
              </w:rPr>
            </w:pPr>
            <w:r w:rsidRPr="001D4358">
              <w:rPr>
                <w:lang w:val="en-US"/>
              </w:rPr>
              <w:t>Delegated powers</w:t>
            </w:r>
          </w:p>
        </w:tc>
        <w:tc>
          <w:tcPr>
            <w:tcW w:w="1837" w:type="dxa"/>
            <w:shd w:val="clear" w:color="auto" w:fill="auto"/>
          </w:tcPr>
          <w:p w14:paraId="67923C24" w14:textId="336A1C0E" w:rsidR="008739BE" w:rsidRPr="00951A5C" w:rsidRDefault="008739BE" w:rsidP="008739BE">
            <w:pPr>
              <w:rPr>
                <w:lang w:val="en-US"/>
              </w:rPr>
            </w:pPr>
            <w:r w:rsidRPr="00154EB3">
              <w:rPr>
                <w:lang w:val="en-US"/>
              </w:rPr>
              <w:t>The Parish Council support the application.</w:t>
            </w:r>
          </w:p>
        </w:tc>
        <w:tc>
          <w:tcPr>
            <w:tcW w:w="1707" w:type="dxa"/>
            <w:shd w:val="clear" w:color="auto" w:fill="auto"/>
          </w:tcPr>
          <w:p w14:paraId="701A23B7" w14:textId="08C31B8F" w:rsidR="008739BE" w:rsidRPr="00951A5C" w:rsidRDefault="008739BE" w:rsidP="008739BE">
            <w:pPr>
              <w:rPr>
                <w:b/>
                <w:bCs/>
                <w:lang w:val="en-US"/>
              </w:rPr>
            </w:pPr>
            <w:r>
              <w:rPr>
                <w:lang w:val="en-US"/>
              </w:rPr>
              <w:t>Approved 12/6/20</w:t>
            </w:r>
          </w:p>
        </w:tc>
      </w:tr>
      <w:bookmarkEnd w:id="4"/>
      <w:tr w:rsidR="008739BE" w:rsidRPr="00951A5C" w14:paraId="22B146E3" w14:textId="77777777" w:rsidTr="00F6631B">
        <w:trPr>
          <w:trHeight w:val="1833"/>
        </w:trPr>
        <w:tc>
          <w:tcPr>
            <w:tcW w:w="675" w:type="dxa"/>
            <w:shd w:val="clear" w:color="auto" w:fill="auto"/>
          </w:tcPr>
          <w:p w14:paraId="236CD869" w14:textId="5F2F80E5" w:rsidR="008739BE" w:rsidRPr="00951A5C" w:rsidRDefault="008739BE" w:rsidP="008739BE">
            <w:pPr>
              <w:rPr>
                <w:lang w:val="en-US"/>
              </w:rPr>
            </w:pPr>
            <w:r>
              <w:rPr>
                <w:lang w:val="en-US"/>
              </w:rPr>
              <w:t>778</w:t>
            </w:r>
          </w:p>
        </w:tc>
        <w:tc>
          <w:tcPr>
            <w:tcW w:w="1169" w:type="dxa"/>
            <w:tcBorders>
              <w:top w:val="single" w:sz="4" w:space="0" w:color="auto"/>
              <w:left w:val="nil"/>
              <w:bottom w:val="single" w:sz="4" w:space="0" w:color="auto"/>
              <w:right w:val="single" w:sz="4" w:space="0" w:color="auto"/>
            </w:tcBorders>
            <w:shd w:val="clear" w:color="auto" w:fill="auto"/>
          </w:tcPr>
          <w:p w14:paraId="21B6FEED" w14:textId="0BBF627F" w:rsidR="008739BE" w:rsidRPr="00951A5C" w:rsidRDefault="008739BE" w:rsidP="008739BE">
            <w:pPr>
              <w:rPr>
                <w:lang w:val="en-US"/>
              </w:rPr>
            </w:pPr>
            <w:r w:rsidRPr="00600934">
              <w:t>20/00586/FUL</w:t>
            </w:r>
          </w:p>
        </w:tc>
        <w:tc>
          <w:tcPr>
            <w:tcW w:w="1559" w:type="dxa"/>
            <w:tcBorders>
              <w:top w:val="single" w:sz="4" w:space="0" w:color="auto"/>
              <w:left w:val="nil"/>
              <w:bottom w:val="single" w:sz="4" w:space="0" w:color="auto"/>
              <w:right w:val="single" w:sz="4" w:space="0" w:color="auto"/>
            </w:tcBorders>
            <w:shd w:val="clear" w:color="auto" w:fill="auto"/>
          </w:tcPr>
          <w:p w14:paraId="045E8838" w14:textId="4CCBE6ED" w:rsidR="008739BE" w:rsidRPr="00951A5C" w:rsidRDefault="008739BE" w:rsidP="008739BE">
            <w:pPr>
              <w:rPr>
                <w:lang w:val="en-US"/>
              </w:rPr>
            </w:pPr>
            <w:r w:rsidRPr="00600934">
              <w:t>147 Golden Cross Lane</w:t>
            </w:r>
            <w:r w:rsidR="0065739E">
              <w:t xml:space="preserve"> B61 0JZ</w:t>
            </w:r>
          </w:p>
        </w:tc>
        <w:tc>
          <w:tcPr>
            <w:tcW w:w="2552" w:type="dxa"/>
            <w:tcBorders>
              <w:top w:val="single" w:sz="4" w:space="0" w:color="auto"/>
              <w:left w:val="nil"/>
              <w:bottom w:val="single" w:sz="4" w:space="0" w:color="auto"/>
              <w:right w:val="single" w:sz="4" w:space="0" w:color="auto"/>
            </w:tcBorders>
            <w:shd w:val="clear" w:color="auto" w:fill="auto"/>
          </w:tcPr>
          <w:p w14:paraId="399C6FB6" w14:textId="346C6A98" w:rsidR="008739BE" w:rsidRPr="00951A5C" w:rsidRDefault="0059144C" w:rsidP="008739BE">
            <w:pPr>
              <w:rPr>
                <w:lang w:val="en-US"/>
              </w:rPr>
            </w:pPr>
            <w:r w:rsidRPr="0059144C">
              <w:rPr>
                <w:lang w:val="en-US"/>
              </w:rPr>
              <w:t>Variation of condition 3 to extend opening hours: imposed on application reference 13/0037, granted on 22nd July 2013 for proposed change of use of barbers/tattoo studio premises to form new cafe.</w:t>
            </w:r>
          </w:p>
        </w:tc>
        <w:tc>
          <w:tcPr>
            <w:tcW w:w="1134" w:type="dxa"/>
            <w:shd w:val="clear" w:color="auto" w:fill="auto"/>
          </w:tcPr>
          <w:p w14:paraId="417668C4" w14:textId="36F60216" w:rsidR="008739BE" w:rsidRPr="00951A5C" w:rsidRDefault="0059144C" w:rsidP="008739BE">
            <w:pPr>
              <w:rPr>
                <w:lang w:val="en-US"/>
              </w:rPr>
            </w:pPr>
            <w:r w:rsidRPr="0059144C">
              <w:rPr>
                <w:lang w:val="en-US"/>
              </w:rPr>
              <w:t>Delegated powers</w:t>
            </w:r>
          </w:p>
        </w:tc>
        <w:tc>
          <w:tcPr>
            <w:tcW w:w="1837" w:type="dxa"/>
            <w:shd w:val="clear" w:color="auto" w:fill="auto"/>
          </w:tcPr>
          <w:p w14:paraId="769E0443" w14:textId="27875DB7" w:rsidR="008739BE" w:rsidRPr="00154EB3" w:rsidRDefault="000A03EA" w:rsidP="000A03EA">
            <w:pPr>
              <w:rPr>
                <w:lang w:val="en-US"/>
              </w:rPr>
            </w:pPr>
            <w:r w:rsidRPr="000A03EA">
              <w:rPr>
                <w:lang w:val="en-US"/>
              </w:rPr>
              <w:t>The Parish Council have no objection to the application but wish to draw attention to the fact that the original restriction on hours was in order 'to make sure that the living conditions of the residents adjacent to the site are not harmed as a result of the development in order to comply with policy DS13 of the Bromsgrove District Local Plan January 2004’.</w:t>
            </w:r>
            <w:r w:rsidR="00F6631B">
              <w:rPr>
                <w:lang w:val="en-US"/>
              </w:rPr>
              <w:t xml:space="preserve">    </w:t>
            </w:r>
            <w:r w:rsidRPr="000A03EA">
              <w:rPr>
                <w:lang w:val="en-US"/>
              </w:rPr>
              <w:t xml:space="preserve">In determining this application due consideration </w:t>
            </w:r>
            <w:r w:rsidRPr="000A03EA">
              <w:rPr>
                <w:lang w:val="en-US"/>
              </w:rPr>
              <w:lastRenderedPageBreak/>
              <w:t xml:space="preserve">needs to be given to the </w:t>
            </w:r>
            <w:proofErr w:type="spellStart"/>
            <w:r w:rsidRPr="000A03EA">
              <w:rPr>
                <w:lang w:val="en-US"/>
              </w:rPr>
              <w:t>affect</w:t>
            </w:r>
            <w:proofErr w:type="spellEnd"/>
            <w:r w:rsidRPr="000A03EA">
              <w:rPr>
                <w:lang w:val="en-US"/>
              </w:rPr>
              <w:t xml:space="preserve"> of allowing an extension of hours on the residential amenities of the occupiers of adjacent residential units and any possible contravention of policy DS13 or its successor in the current Local Plan.</w:t>
            </w:r>
          </w:p>
        </w:tc>
        <w:tc>
          <w:tcPr>
            <w:tcW w:w="1707" w:type="dxa"/>
            <w:shd w:val="clear" w:color="auto" w:fill="auto"/>
          </w:tcPr>
          <w:p w14:paraId="27166F1C" w14:textId="2826B3F0" w:rsidR="008739BE" w:rsidRPr="004C2948" w:rsidRDefault="009D3940" w:rsidP="008739BE">
            <w:pPr>
              <w:rPr>
                <w:lang w:val="en-US"/>
              </w:rPr>
            </w:pPr>
            <w:r>
              <w:rPr>
                <w:lang w:val="en-US"/>
              </w:rPr>
              <w:lastRenderedPageBreak/>
              <w:t>No dec</w:t>
            </w:r>
            <w:r w:rsidR="00617BE1">
              <w:rPr>
                <w:lang w:val="en-US"/>
              </w:rPr>
              <w:t>ision as at 8/7/20</w:t>
            </w:r>
          </w:p>
        </w:tc>
      </w:tr>
      <w:tr w:rsidR="003131E4" w:rsidRPr="00951A5C" w14:paraId="104687BB" w14:textId="77777777" w:rsidTr="00F6631B">
        <w:trPr>
          <w:trHeight w:val="1833"/>
        </w:trPr>
        <w:tc>
          <w:tcPr>
            <w:tcW w:w="675" w:type="dxa"/>
            <w:shd w:val="clear" w:color="auto" w:fill="auto"/>
          </w:tcPr>
          <w:p w14:paraId="12A59171" w14:textId="209351C8" w:rsidR="003131E4" w:rsidRDefault="003131E4" w:rsidP="003131E4">
            <w:pPr>
              <w:rPr>
                <w:lang w:val="en-US"/>
              </w:rPr>
            </w:pPr>
            <w:r>
              <w:rPr>
                <w:lang w:val="en-US"/>
              </w:rPr>
              <w:t>779</w:t>
            </w:r>
          </w:p>
        </w:tc>
        <w:tc>
          <w:tcPr>
            <w:tcW w:w="1169" w:type="dxa"/>
            <w:tcBorders>
              <w:top w:val="single" w:sz="4" w:space="0" w:color="auto"/>
              <w:left w:val="nil"/>
              <w:bottom w:val="single" w:sz="4" w:space="0" w:color="auto"/>
              <w:right w:val="single" w:sz="4" w:space="0" w:color="auto"/>
            </w:tcBorders>
            <w:shd w:val="clear" w:color="auto" w:fill="auto"/>
          </w:tcPr>
          <w:p w14:paraId="74C95585" w14:textId="7E31F7DB" w:rsidR="003131E4" w:rsidRPr="00600934" w:rsidRDefault="003131E4" w:rsidP="003131E4">
            <w:r w:rsidRPr="0033114E">
              <w:t>20/00624/FUL</w:t>
            </w:r>
          </w:p>
        </w:tc>
        <w:tc>
          <w:tcPr>
            <w:tcW w:w="1559" w:type="dxa"/>
            <w:tcBorders>
              <w:top w:val="single" w:sz="4" w:space="0" w:color="auto"/>
              <w:left w:val="nil"/>
              <w:bottom w:val="single" w:sz="4" w:space="0" w:color="auto"/>
              <w:right w:val="single" w:sz="4" w:space="0" w:color="auto"/>
            </w:tcBorders>
            <w:shd w:val="clear" w:color="auto" w:fill="auto"/>
          </w:tcPr>
          <w:p w14:paraId="6AE2B55E" w14:textId="551D710D" w:rsidR="003131E4" w:rsidRPr="00600934" w:rsidRDefault="003131E4" w:rsidP="003131E4">
            <w:r w:rsidRPr="00455653">
              <w:t>314 Stourbridge Rd, Catshill</w:t>
            </w:r>
            <w:r>
              <w:t xml:space="preserve"> B61 9LH</w:t>
            </w:r>
          </w:p>
        </w:tc>
        <w:tc>
          <w:tcPr>
            <w:tcW w:w="2552" w:type="dxa"/>
            <w:tcBorders>
              <w:top w:val="single" w:sz="4" w:space="0" w:color="auto"/>
              <w:left w:val="nil"/>
              <w:bottom w:val="single" w:sz="4" w:space="0" w:color="auto"/>
              <w:right w:val="single" w:sz="4" w:space="0" w:color="auto"/>
            </w:tcBorders>
            <w:shd w:val="clear" w:color="auto" w:fill="auto"/>
          </w:tcPr>
          <w:p w14:paraId="1654C047" w14:textId="0D6FC1C4" w:rsidR="003131E4" w:rsidRPr="0059144C" w:rsidRDefault="003131E4" w:rsidP="003131E4">
            <w:pPr>
              <w:rPr>
                <w:lang w:val="en-US"/>
              </w:rPr>
            </w:pPr>
            <w:r w:rsidRPr="00C6732C">
              <w:rPr>
                <w:lang w:val="en-US"/>
              </w:rPr>
              <w:t>Loft Extension/Conversion &amp; Replacement of Rear Single Storey Extension Flat Roof with Pitched Roof</w:t>
            </w:r>
          </w:p>
        </w:tc>
        <w:tc>
          <w:tcPr>
            <w:tcW w:w="1134" w:type="dxa"/>
            <w:shd w:val="clear" w:color="auto" w:fill="auto"/>
          </w:tcPr>
          <w:p w14:paraId="4C611146" w14:textId="4860D696" w:rsidR="003131E4" w:rsidRPr="0059144C" w:rsidRDefault="003131E4" w:rsidP="003131E4">
            <w:pPr>
              <w:rPr>
                <w:lang w:val="en-US"/>
              </w:rPr>
            </w:pPr>
            <w:r w:rsidRPr="004960C5">
              <w:t>Delegated powers</w:t>
            </w:r>
          </w:p>
        </w:tc>
        <w:tc>
          <w:tcPr>
            <w:tcW w:w="1837" w:type="dxa"/>
            <w:shd w:val="clear" w:color="auto" w:fill="auto"/>
          </w:tcPr>
          <w:p w14:paraId="42E08E16" w14:textId="461509F0" w:rsidR="003131E4" w:rsidRPr="000A03EA" w:rsidRDefault="003131E4" w:rsidP="003131E4">
            <w:pPr>
              <w:rPr>
                <w:lang w:val="en-US"/>
              </w:rPr>
            </w:pPr>
            <w:r w:rsidRPr="004960C5">
              <w:t>The Parish Council support the application</w:t>
            </w:r>
          </w:p>
        </w:tc>
        <w:tc>
          <w:tcPr>
            <w:tcW w:w="1707" w:type="dxa"/>
            <w:shd w:val="clear" w:color="auto" w:fill="auto"/>
          </w:tcPr>
          <w:p w14:paraId="3BB7ABCC" w14:textId="307B2D99" w:rsidR="003131E4" w:rsidRDefault="00A1614E" w:rsidP="003131E4">
            <w:pPr>
              <w:rPr>
                <w:lang w:val="en-US"/>
              </w:rPr>
            </w:pPr>
            <w:r>
              <w:rPr>
                <w:lang w:val="en-US"/>
              </w:rPr>
              <w:t xml:space="preserve">No </w:t>
            </w:r>
            <w:r w:rsidR="00A05E69">
              <w:rPr>
                <w:lang w:val="en-US"/>
              </w:rPr>
              <w:t>decision</w:t>
            </w:r>
            <w:r>
              <w:rPr>
                <w:lang w:val="en-US"/>
              </w:rPr>
              <w:t xml:space="preserve"> </w:t>
            </w:r>
            <w:r w:rsidR="00A05E69">
              <w:rPr>
                <w:lang w:val="en-US"/>
              </w:rPr>
              <w:t>as at 8/7/20</w:t>
            </w:r>
          </w:p>
        </w:tc>
      </w:tr>
    </w:tbl>
    <w:p w14:paraId="20207797" w14:textId="42873967" w:rsidR="00713923" w:rsidRDefault="00713923" w:rsidP="0058643C">
      <w:pPr>
        <w:spacing w:after="0"/>
      </w:pPr>
    </w:p>
    <w:p w14:paraId="58B1F6EA" w14:textId="605E92A2" w:rsidR="00565822" w:rsidRPr="00890042" w:rsidRDefault="00565822" w:rsidP="0058643C">
      <w:pPr>
        <w:spacing w:after="0"/>
        <w:rPr>
          <w:b/>
          <w:bCs/>
        </w:rPr>
      </w:pPr>
    </w:p>
    <w:p w14:paraId="53D6501A" w14:textId="4E43F525" w:rsidR="00530374" w:rsidRPr="00530374" w:rsidRDefault="00530374" w:rsidP="0058643C">
      <w:pPr>
        <w:spacing w:after="0"/>
      </w:pPr>
      <w:r w:rsidRPr="00530374">
        <w:t>Jim Quinn</w:t>
      </w:r>
    </w:p>
    <w:p w14:paraId="2D00A579" w14:textId="19204A1A" w:rsidR="00530374" w:rsidRPr="00530374" w:rsidRDefault="00530374" w:rsidP="00713923">
      <w:pPr>
        <w:spacing w:after="0"/>
      </w:pPr>
      <w:r w:rsidRPr="00530374">
        <w:t>Assistant Parish Clerk, Catshill and North Marlbrook Parish Council </w:t>
      </w:r>
    </w:p>
    <w:p w14:paraId="0482FDF7" w14:textId="0D15F5C4" w:rsidR="00D65237" w:rsidRDefault="00CD78D3" w:rsidP="00D65237">
      <w:r>
        <w:t>8</w:t>
      </w:r>
      <w:r w:rsidR="00530374" w:rsidRPr="00530374">
        <w:t>/</w:t>
      </w:r>
      <w:r w:rsidR="00B645D6">
        <w:t>7</w:t>
      </w:r>
      <w:r w:rsidR="00530374" w:rsidRPr="00530374">
        <w:t>/20</w:t>
      </w:r>
    </w:p>
    <w:p w14:paraId="368B5EB9" w14:textId="1BBDA139" w:rsidR="001B4A0E" w:rsidRDefault="001B4A0E"/>
    <w:p w14:paraId="54DEBC28" w14:textId="77777777" w:rsidR="001B4A0E" w:rsidRDefault="001B4A0E"/>
    <w:sectPr w:rsidR="001B4A0E" w:rsidSect="00E96BC9">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2927B" w14:textId="77777777" w:rsidR="00576D5D" w:rsidRDefault="00576D5D" w:rsidP="00760434">
      <w:pPr>
        <w:spacing w:after="0" w:line="240" w:lineRule="auto"/>
      </w:pPr>
      <w:r>
        <w:separator/>
      </w:r>
    </w:p>
  </w:endnote>
  <w:endnote w:type="continuationSeparator" w:id="0">
    <w:p w14:paraId="1103D06D" w14:textId="77777777" w:rsidR="00576D5D" w:rsidRDefault="00576D5D" w:rsidP="0076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801918"/>
      <w:docPartObj>
        <w:docPartGallery w:val="Page Numbers (Bottom of Page)"/>
        <w:docPartUnique/>
      </w:docPartObj>
    </w:sdtPr>
    <w:sdtEndPr>
      <w:rPr>
        <w:noProof/>
      </w:rPr>
    </w:sdtEndPr>
    <w:sdtContent>
      <w:p w14:paraId="701F95D3" w14:textId="1C879E9F" w:rsidR="00760434" w:rsidRDefault="007604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B11A51" w14:textId="77777777" w:rsidR="00760434" w:rsidRDefault="00760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558CA" w14:textId="77777777" w:rsidR="00576D5D" w:rsidRDefault="00576D5D" w:rsidP="00760434">
      <w:pPr>
        <w:spacing w:after="0" w:line="240" w:lineRule="auto"/>
      </w:pPr>
      <w:r>
        <w:separator/>
      </w:r>
    </w:p>
  </w:footnote>
  <w:footnote w:type="continuationSeparator" w:id="0">
    <w:p w14:paraId="3A4F264F" w14:textId="77777777" w:rsidR="00576D5D" w:rsidRDefault="00576D5D" w:rsidP="00760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D1100E"/>
    <w:multiLevelType w:val="hybridMultilevel"/>
    <w:tmpl w:val="C998466C"/>
    <w:lvl w:ilvl="0" w:tplc="9DEE59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A973AC"/>
    <w:multiLevelType w:val="multilevel"/>
    <w:tmpl w:val="AA5E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354716"/>
    <w:multiLevelType w:val="hybridMultilevel"/>
    <w:tmpl w:val="98AA2C2C"/>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3" w15:restartNumberingAfterBreak="0">
    <w:nsid w:val="79655E3F"/>
    <w:multiLevelType w:val="hybridMultilevel"/>
    <w:tmpl w:val="9EE656D2"/>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537"/>
    <w:rsid w:val="000005CF"/>
    <w:rsid w:val="00016C28"/>
    <w:rsid w:val="000220D3"/>
    <w:rsid w:val="000400F2"/>
    <w:rsid w:val="000557EB"/>
    <w:rsid w:val="00056720"/>
    <w:rsid w:val="00087579"/>
    <w:rsid w:val="00090603"/>
    <w:rsid w:val="000A03EA"/>
    <w:rsid w:val="000B289D"/>
    <w:rsid w:val="000B28E5"/>
    <w:rsid w:val="000D13D7"/>
    <w:rsid w:val="000F170C"/>
    <w:rsid w:val="00123F1A"/>
    <w:rsid w:val="00132006"/>
    <w:rsid w:val="001424EF"/>
    <w:rsid w:val="0014255B"/>
    <w:rsid w:val="00147F9F"/>
    <w:rsid w:val="00154EB3"/>
    <w:rsid w:val="001632FB"/>
    <w:rsid w:val="00166F45"/>
    <w:rsid w:val="00172331"/>
    <w:rsid w:val="00182E1A"/>
    <w:rsid w:val="001907D0"/>
    <w:rsid w:val="001A5E69"/>
    <w:rsid w:val="001A7116"/>
    <w:rsid w:val="001B0AE4"/>
    <w:rsid w:val="001B4A0E"/>
    <w:rsid w:val="001B5E06"/>
    <w:rsid w:val="001C3049"/>
    <w:rsid w:val="001D1209"/>
    <w:rsid w:val="001D4358"/>
    <w:rsid w:val="001E4E29"/>
    <w:rsid w:val="001F7118"/>
    <w:rsid w:val="0022705E"/>
    <w:rsid w:val="00232CFD"/>
    <w:rsid w:val="0024622E"/>
    <w:rsid w:val="00247BC7"/>
    <w:rsid w:val="002622E6"/>
    <w:rsid w:val="00267FC4"/>
    <w:rsid w:val="002B0F1C"/>
    <w:rsid w:val="002C5A5E"/>
    <w:rsid w:val="002C79BB"/>
    <w:rsid w:val="002F4D7C"/>
    <w:rsid w:val="003034D1"/>
    <w:rsid w:val="00311DC0"/>
    <w:rsid w:val="003131E4"/>
    <w:rsid w:val="0033114E"/>
    <w:rsid w:val="00336762"/>
    <w:rsid w:val="00336F29"/>
    <w:rsid w:val="0034152E"/>
    <w:rsid w:val="003470A1"/>
    <w:rsid w:val="00351D5E"/>
    <w:rsid w:val="003535CA"/>
    <w:rsid w:val="003660E9"/>
    <w:rsid w:val="003753F3"/>
    <w:rsid w:val="003830F5"/>
    <w:rsid w:val="003873DF"/>
    <w:rsid w:val="00396537"/>
    <w:rsid w:val="00396B70"/>
    <w:rsid w:val="00397060"/>
    <w:rsid w:val="00397B96"/>
    <w:rsid w:val="003B35DB"/>
    <w:rsid w:val="003C3E17"/>
    <w:rsid w:val="003E09FF"/>
    <w:rsid w:val="0041016A"/>
    <w:rsid w:val="00412C2E"/>
    <w:rsid w:val="004309F5"/>
    <w:rsid w:val="00443715"/>
    <w:rsid w:val="00450865"/>
    <w:rsid w:val="00455653"/>
    <w:rsid w:val="00460853"/>
    <w:rsid w:val="00462844"/>
    <w:rsid w:val="00476397"/>
    <w:rsid w:val="00493124"/>
    <w:rsid w:val="004B4793"/>
    <w:rsid w:val="004C2948"/>
    <w:rsid w:val="004D6FAE"/>
    <w:rsid w:val="004F36CA"/>
    <w:rsid w:val="004F46D8"/>
    <w:rsid w:val="004F75DE"/>
    <w:rsid w:val="0051168F"/>
    <w:rsid w:val="00530374"/>
    <w:rsid w:val="005442D5"/>
    <w:rsid w:val="00545B33"/>
    <w:rsid w:val="00547D38"/>
    <w:rsid w:val="00562561"/>
    <w:rsid w:val="00565822"/>
    <w:rsid w:val="005748C9"/>
    <w:rsid w:val="00576D5D"/>
    <w:rsid w:val="0058643C"/>
    <w:rsid w:val="0059144C"/>
    <w:rsid w:val="005A11DB"/>
    <w:rsid w:val="005B1601"/>
    <w:rsid w:val="005B2939"/>
    <w:rsid w:val="005C272F"/>
    <w:rsid w:val="005D1025"/>
    <w:rsid w:val="005D3919"/>
    <w:rsid w:val="005D493D"/>
    <w:rsid w:val="005E2B26"/>
    <w:rsid w:val="00617BE1"/>
    <w:rsid w:val="00624463"/>
    <w:rsid w:val="00627556"/>
    <w:rsid w:val="00627C0A"/>
    <w:rsid w:val="00633744"/>
    <w:rsid w:val="0064316D"/>
    <w:rsid w:val="006477A4"/>
    <w:rsid w:val="0065739E"/>
    <w:rsid w:val="006713B3"/>
    <w:rsid w:val="00675F16"/>
    <w:rsid w:val="00694C0D"/>
    <w:rsid w:val="00695CEE"/>
    <w:rsid w:val="006B1B7A"/>
    <w:rsid w:val="006B40DD"/>
    <w:rsid w:val="006B4F31"/>
    <w:rsid w:val="006C2E61"/>
    <w:rsid w:val="006C7DF1"/>
    <w:rsid w:val="006D1265"/>
    <w:rsid w:val="006D2F3A"/>
    <w:rsid w:val="006D31A0"/>
    <w:rsid w:val="006E3B4C"/>
    <w:rsid w:val="0071165E"/>
    <w:rsid w:val="00713923"/>
    <w:rsid w:val="00715A8C"/>
    <w:rsid w:val="007232CD"/>
    <w:rsid w:val="007235CF"/>
    <w:rsid w:val="007368AA"/>
    <w:rsid w:val="007375CF"/>
    <w:rsid w:val="007458DD"/>
    <w:rsid w:val="00755A03"/>
    <w:rsid w:val="00756032"/>
    <w:rsid w:val="007564C2"/>
    <w:rsid w:val="00760434"/>
    <w:rsid w:val="00760E6F"/>
    <w:rsid w:val="00762975"/>
    <w:rsid w:val="007639F6"/>
    <w:rsid w:val="007664C0"/>
    <w:rsid w:val="00766734"/>
    <w:rsid w:val="007719E4"/>
    <w:rsid w:val="007744B9"/>
    <w:rsid w:val="00777A46"/>
    <w:rsid w:val="00783D35"/>
    <w:rsid w:val="00794C89"/>
    <w:rsid w:val="007A50B4"/>
    <w:rsid w:val="007D1244"/>
    <w:rsid w:val="007D1339"/>
    <w:rsid w:val="007E3AC6"/>
    <w:rsid w:val="007F0EDF"/>
    <w:rsid w:val="0080584B"/>
    <w:rsid w:val="00806E6C"/>
    <w:rsid w:val="00807457"/>
    <w:rsid w:val="00812448"/>
    <w:rsid w:val="0083702A"/>
    <w:rsid w:val="008418BF"/>
    <w:rsid w:val="00842386"/>
    <w:rsid w:val="00842A73"/>
    <w:rsid w:val="008453B2"/>
    <w:rsid w:val="00871760"/>
    <w:rsid w:val="008739BE"/>
    <w:rsid w:val="00881053"/>
    <w:rsid w:val="00890042"/>
    <w:rsid w:val="008A1377"/>
    <w:rsid w:val="008A1DD2"/>
    <w:rsid w:val="008A7B7A"/>
    <w:rsid w:val="008B3223"/>
    <w:rsid w:val="008B4114"/>
    <w:rsid w:val="008C43C8"/>
    <w:rsid w:val="008C5430"/>
    <w:rsid w:val="008D30E6"/>
    <w:rsid w:val="008F01E2"/>
    <w:rsid w:val="008F45B6"/>
    <w:rsid w:val="009013E1"/>
    <w:rsid w:val="00942E04"/>
    <w:rsid w:val="00945ABB"/>
    <w:rsid w:val="00951A5C"/>
    <w:rsid w:val="00951B92"/>
    <w:rsid w:val="00961B8C"/>
    <w:rsid w:val="00972423"/>
    <w:rsid w:val="00984247"/>
    <w:rsid w:val="00992970"/>
    <w:rsid w:val="009A2CCD"/>
    <w:rsid w:val="009A5597"/>
    <w:rsid w:val="009D3940"/>
    <w:rsid w:val="009F7FE2"/>
    <w:rsid w:val="00A02A19"/>
    <w:rsid w:val="00A05E69"/>
    <w:rsid w:val="00A068D1"/>
    <w:rsid w:val="00A10A3C"/>
    <w:rsid w:val="00A1614E"/>
    <w:rsid w:val="00A21182"/>
    <w:rsid w:val="00A323FE"/>
    <w:rsid w:val="00A32B99"/>
    <w:rsid w:val="00A40E1E"/>
    <w:rsid w:val="00A63764"/>
    <w:rsid w:val="00A77D13"/>
    <w:rsid w:val="00AB6CB4"/>
    <w:rsid w:val="00AC4BA7"/>
    <w:rsid w:val="00AC558B"/>
    <w:rsid w:val="00AC7B10"/>
    <w:rsid w:val="00AE6A2F"/>
    <w:rsid w:val="00B0295C"/>
    <w:rsid w:val="00B032E4"/>
    <w:rsid w:val="00B1001C"/>
    <w:rsid w:val="00B466EB"/>
    <w:rsid w:val="00B46E03"/>
    <w:rsid w:val="00B645D6"/>
    <w:rsid w:val="00B6599A"/>
    <w:rsid w:val="00BA0C20"/>
    <w:rsid w:val="00BB3256"/>
    <w:rsid w:val="00BD42C3"/>
    <w:rsid w:val="00BF18D7"/>
    <w:rsid w:val="00BF4920"/>
    <w:rsid w:val="00BF536F"/>
    <w:rsid w:val="00C0583F"/>
    <w:rsid w:val="00C07B9D"/>
    <w:rsid w:val="00C22BD4"/>
    <w:rsid w:val="00C35749"/>
    <w:rsid w:val="00C465E4"/>
    <w:rsid w:val="00C50012"/>
    <w:rsid w:val="00C5160E"/>
    <w:rsid w:val="00C55FB1"/>
    <w:rsid w:val="00C6732C"/>
    <w:rsid w:val="00C76612"/>
    <w:rsid w:val="00C824AD"/>
    <w:rsid w:val="00C858F5"/>
    <w:rsid w:val="00C91D32"/>
    <w:rsid w:val="00CA52C6"/>
    <w:rsid w:val="00CA564D"/>
    <w:rsid w:val="00CB5A4E"/>
    <w:rsid w:val="00CC6255"/>
    <w:rsid w:val="00CC706F"/>
    <w:rsid w:val="00CC7E8F"/>
    <w:rsid w:val="00CD6D17"/>
    <w:rsid w:val="00CD78D3"/>
    <w:rsid w:val="00CE13CF"/>
    <w:rsid w:val="00CE397F"/>
    <w:rsid w:val="00CE7136"/>
    <w:rsid w:val="00D03651"/>
    <w:rsid w:val="00D076F1"/>
    <w:rsid w:val="00D146C8"/>
    <w:rsid w:val="00D21CCB"/>
    <w:rsid w:val="00D31AF7"/>
    <w:rsid w:val="00D330EE"/>
    <w:rsid w:val="00D51E22"/>
    <w:rsid w:val="00D5293B"/>
    <w:rsid w:val="00D65237"/>
    <w:rsid w:val="00D84977"/>
    <w:rsid w:val="00D90B5E"/>
    <w:rsid w:val="00DB33E5"/>
    <w:rsid w:val="00DC4A92"/>
    <w:rsid w:val="00DD7DD8"/>
    <w:rsid w:val="00DF1475"/>
    <w:rsid w:val="00DF7FDC"/>
    <w:rsid w:val="00E105B4"/>
    <w:rsid w:val="00E22B7F"/>
    <w:rsid w:val="00E62C46"/>
    <w:rsid w:val="00E72DE5"/>
    <w:rsid w:val="00E76496"/>
    <w:rsid w:val="00E80ECE"/>
    <w:rsid w:val="00E8323D"/>
    <w:rsid w:val="00E852BC"/>
    <w:rsid w:val="00E96BC9"/>
    <w:rsid w:val="00EA23B7"/>
    <w:rsid w:val="00EA41FD"/>
    <w:rsid w:val="00EA6089"/>
    <w:rsid w:val="00EB2D05"/>
    <w:rsid w:val="00EB77CB"/>
    <w:rsid w:val="00EC5BDD"/>
    <w:rsid w:val="00ED32A4"/>
    <w:rsid w:val="00F0002C"/>
    <w:rsid w:val="00F0109A"/>
    <w:rsid w:val="00F14F14"/>
    <w:rsid w:val="00F269AD"/>
    <w:rsid w:val="00F3204F"/>
    <w:rsid w:val="00F33DC8"/>
    <w:rsid w:val="00F47ECF"/>
    <w:rsid w:val="00F57A11"/>
    <w:rsid w:val="00F6631B"/>
    <w:rsid w:val="00F67115"/>
    <w:rsid w:val="00F7198E"/>
    <w:rsid w:val="00F71F30"/>
    <w:rsid w:val="00F83911"/>
    <w:rsid w:val="00FA0B7F"/>
    <w:rsid w:val="00FC71E1"/>
    <w:rsid w:val="00FF29DF"/>
    <w:rsid w:val="00FF7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40DD4"/>
  <w15:chartTrackingRefBased/>
  <w15:docId w15:val="{BC014774-111F-44D4-812F-900CA55C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36F"/>
    <w:pPr>
      <w:ind w:left="720"/>
      <w:contextualSpacing/>
    </w:pPr>
  </w:style>
  <w:style w:type="character" w:styleId="Hyperlink">
    <w:name w:val="Hyperlink"/>
    <w:basedOn w:val="DefaultParagraphFont"/>
    <w:uiPriority w:val="99"/>
    <w:unhideWhenUsed/>
    <w:rsid w:val="0080584B"/>
    <w:rPr>
      <w:color w:val="0563C1" w:themeColor="hyperlink"/>
      <w:u w:val="single"/>
    </w:rPr>
  </w:style>
  <w:style w:type="character" w:styleId="UnresolvedMention">
    <w:name w:val="Unresolved Mention"/>
    <w:basedOn w:val="DefaultParagraphFont"/>
    <w:uiPriority w:val="99"/>
    <w:semiHidden/>
    <w:unhideWhenUsed/>
    <w:rsid w:val="0080584B"/>
    <w:rPr>
      <w:color w:val="605E5C"/>
      <w:shd w:val="clear" w:color="auto" w:fill="E1DFDD"/>
    </w:rPr>
  </w:style>
  <w:style w:type="paragraph" w:styleId="Header">
    <w:name w:val="header"/>
    <w:basedOn w:val="Normal"/>
    <w:link w:val="HeaderChar"/>
    <w:uiPriority w:val="99"/>
    <w:unhideWhenUsed/>
    <w:rsid w:val="00760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434"/>
  </w:style>
  <w:style w:type="paragraph" w:styleId="Footer">
    <w:name w:val="footer"/>
    <w:basedOn w:val="Normal"/>
    <w:link w:val="FooterChar"/>
    <w:uiPriority w:val="99"/>
    <w:unhideWhenUsed/>
    <w:rsid w:val="00760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434"/>
  </w:style>
  <w:style w:type="character" w:styleId="FollowedHyperlink">
    <w:name w:val="FollowedHyperlink"/>
    <w:basedOn w:val="DefaultParagraphFont"/>
    <w:uiPriority w:val="99"/>
    <w:semiHidden/>
    <w:unhideWhenUsed/>
    <w:rsid w:val="00397B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2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3</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Clerk</dc:creator>
  <cp:keywords/>
  <dc:description/>
  <cp:lastModifiedBy>Assistant Clerk</cp:lastModifiedBy>
  <cp:revision>280</cp:revision>
  <dcterms:created xsi:type="dcterms:W3CDTF">2020-04-14T07:32:00Z</dcterms:created>
  <dcterms:modified xsi:type="dcterms:W3CDTF">2020-07-08T11:02:00Z</dcterms:modified>
</cp:coreProperties>
</file>